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8E6A" w14:textId="77777777" w:rsidR="0058445B" w:rsidRPr="00BB1079" w:rsidRDefault="0058445B" w:rsidP="0058445B">
      <w:pPr>
        <w:rPr>
          <w:rFonts w:ascii="Lato" w:hAnsi="Lato"/>
          <w:bCs/>
          <w:sz w:val="18"/>
          <w:szCs w:val="18"/>
        </w:rPr>
      </w:pPr>
    </w:p>
    <w:p w14:paraId="135D490F" w14:textId="77777777" w:rsidR="0058445B" w:rsidRPr="009214C9" w:rsidRDefault="0058445B" w:rsidP="009214C9">
      <w:pPr>
        <w:pStyle w:val="Tytu"/>
        <w:jc w:val="center"/>
        <w:rPr>
          <w:rFonts w:ascii="Lato" w:hAnsi="Lato"/>
          <w:sz w:val="36"/>
          <w:szCs w:val="36"/>
        </w:rPr>
      </w:pPr>
      <w:r w:rsidRPr="009214C9">
        <w:rPr>
          <w:rFonts w:ascii="Lato" w:hAnsi="Lato"/>
          <w:sz w:val="36"/>
          <w:szCs w:val="36"/>
        </w:rPr>
        <w:t>WYTYCZNE GUM</w:t>
      </w:r>
    </w:p>
    <w:p w14:paraId="7CC88209" w14:textId="77777777" w:rsidR="0058445B" w:rsidRPr="009214C9" w:rsidRDefault="0058445B" w:rsidP="009214C9">
      <w:pPr>
        <w:pStyle w:val="Tytu"/>
        <w:jc w:val="center"/>
        <w:rPr>
          <w:rFonts w:ascii="Lato" w:hAnsi="Lato"/>
          <w:sz w:val="36"/>
          <w:szCs w:val="36"/>
        </w:rPr>
      </w:pPr>
      <w:r w:rsidRPr="009214C9">
        <w:rPr>
          <w:rFonts w:ascii="Lato" w:hAnsi="Lato"/>
          <w:sz w:val="36"/>
          <w:szCs w:val="36"/>
        </w:rPr>
        <w:t>JEDNOSTKI NOTYFIKOWANEJ 1440</w:t>
      </w:r>
    </w:p>
    <w:p w14:paraId="0B58BC0C" w14:textId="77777777" w:rsidR="00FE29A1" w:rsidRPr="009214C9" w:rsidRDefault="0058445B" w:rsidP="009214C9">
      <w:pPr>
        <w:pStyle w:val="Tytu"/>
        <w:jc w:val="center"/>
        <w:rPr>
          <w:rFonts w:ascii="Lato" w:hAnsi="Lato"/>
          <w:sz w:val="36"/>
          <w:szCs w:val="36"/>
        </w:rPr>
      </w:pPr>
      <w:r w:rsidRPr="009214C9">
        <w:rPr>
          <w:rFonts w:ascii="Lato" w:hAnsi="Lato"/>
          <w:sz w:val="36"/>
          <w:szCs w:val="36"/>
        </w:rPr>
        <w:t>dotyczące zawartości dokumentacji technicznej</w:t>
      </w:r>
    </w:p>
    <w:p w14:paraId="1560E67A" w14:textId="47D66A7D" w:rsidR="00EE39C3" w:rsidRPr="009214C9" w:rsidRDefault="0058445B" w:rsidP="009214C9">
      <w:pPr>
        <w:pStyle w:val="Tytu"/>
        <w:jc w:val="center"/>
        <w:rPr>
          <w:rFonts w:ascii="Lato" w:hAnsi="Lato"/>
          <w:sz w:val="36"/>
          <w:szCs w:val="36"/>
        </w:rPr>
      </w:pPr>
      <w:r w:rsidRPr="009214C9">
        <w:rPr>
          <w:rFonts w:ascii="Lato" w:hAnsi="Lato"/>
          <w:sz w:val="36"/>
          <w:szCs w:val="36"/>
        </w:rPr>
        <w:t>dla przeprowadzenia procedury oceny zgodności</w:t>
      </w:r>
      <w:r w:rsidR="00FE29A1" w:rsidRPr="009214C9">
        <w:rPr>
          <w:rFonts w:ascii="Lato" w:hAnsi="Lato"/>
          <w:sz w:val="36"/>
          <w:szCs w:val="36"/>
        </w:rPr>
        <w:t xml:space="preserve"> </w:t>
      </w:r>
      <w:r w:rsidRPr="009214C9">
        <w:rPr>
          <w:rFonts w:ascii="Lato" w:hAnsi="Lato"/>
          <w:sz w:val="36"/>
          <w:szCs w:val="36"/>
        </w:rPr>
        <w:t>wagi nieautomatycznej</w:t>
      </w:r>
    </w:p>
    <w:p w14:paraId="41768EE4" w14:textId="77777777" w:rsidR="00C6709F" w:rsidRDefault="00C6709F" w:rsidP="0058445B">
      <w:pPr>
        <w:jc w:val="center"/>
        <w:rPr>
          <w:rFonts w:ascii="Lato" w:hAnsi="Lato" w:cs="Arial"/>
          <w:b/>
          <w:sz w:val="28"/>
          <w:szCs w:val="28"/>
        </w:rPr>
      </w:pPr>
    </w:p>
    <w:p w14:paraId="7C549FFC" w14:textId="77777777" w:rsidR="00AB3188" w:rsidRPr="008C2F4D" w:rsidRDefault="00306F0B" w:rsidP="00644E1E">
      <w:pPr>
        <w:rPr>
          <w:rFonts w:ascii="Lato" w:hAnsi="Lato" w:cs="Arial"/>
          <w:sz w:val="20"/>
          <w:szCs w:val="20"/>
        </w:rPr>
      </w:pPr>
      <w:r w:rsidRPr="008C2F4D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8C2F4D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CB3528" w:rsidRPr="008C2F4D">
        <w:rPr>
          <w:rFonts w:ascii="Lato" w:hAnsi="Lato" w:cs="Arial"/>
          <w:spacing w:val="-6"/>
          <w:sz w:val="20"/>
          <w:szCs w:val="20"/>
        </w:rPr>
        <w:t>wagi nieautomatycznej</w:t>
      </w:r>
      <w:r w:rsidR="006E2090" w:rsidRPr="008C2F4D">
        <w:rPr>
          <w:rFonts w:ascii="Lato" w:hAnsi="Lato" w:cs="Arial"/>
          <w:i/>
          <w:sz w:val="20"/>
          <w:szCs w:val="20"/>
        </w:rPr>
        <w:t xml:space="preserve"> </w:t>
      </w:r>
      <w:r w:rsidR="00B525DF" w:rsidRPr="008C2F4D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8C2F4D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FA7CCD" w:rsidRPr="008C2F4D">
        <w:rPr>
          <w:rFonts w:ascii="Lato" w:hAnsi="Lato" w:cs="Arial"/>
          <w:bCs/>
          <w:sz w:val="20"/>
          <w:szCs w:val="20"/>
        </w:rPr>
        <w:t xml:space="preserve">Ministra Rozwoju </w:t>
      </w:r>
      <w:r w:rsidR="00FA7CCD" w:rsidRPr="008C2F4D">
        <w:rPr>
          <w:rFonts w:ascii="Lato" w:eastAsia="TimesNewRoman" w:hAnsi="Lato" w:cs="Arial"/>
          <w:sz w:val="20"/>
          <w:szCs w:val="20"/>
        </w:rPr>
        <w:t xml:space="preserve">z dnia 2 czerwca 2016 r. </w:t>
      </w:r>
      <w:r w:rsidR="00FA7CCD" w:rsidRPr="008C2F4D">
        <w:rPr>
          <w:rFonts w:ascii="Lato" w:hAnsi="Lato" w:cs="Arial"/>
          <w:bCs/>
          <w:sz w:val="20"/>
          <w:szCs w:val="20"/>
        </w:rPr>
        <w:t>w sprawie wymagań dla wag nieautomatycznych</w:t>
      </w:r>
      <w:r w:rsidRPr="008C2F4D">
        <w:rPr>
          <w:rFonts w:ascii="Lato" w:hAnsi="Lato" w:cs="Arial"/>
          <w:sz w:val="20"/>
          <w:szCs w:val="20"/>
        </w:rPr>
        <w:t xml:space="preserve">. </w:t>
      </w:r>
      <w:r w:rsidR="00B525DF" w:rsidRPr="008C2F4D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CB3528" w:rsidRPr="008C2F4D">
        <w:rPr>
          <w:rFonts w:ascii="Lato" w:hAnsi="Lato" w:cs="Arial"/>
          <w:spacing w:val="-6"/>
          <w:sz w:val="20"/>
          <w:szCs w:val="20"/>
        </w:rPr>
        <w:t>wagi nieautomatycznej</w:t>
      </w:r>
      <w:r w:rsidR="006E2090" w:rsidRPr="008C2F4D">
        <w:rPr>
          <w:rFonts w:ascii="Lato" w:hAnsi="Lato" w:cs="Arial"/>
          <w:i/>
          <w:sz w:val="20"/>
          <w:szCs w:val="20"/>
        </w:rPr>
        <w:t xml:space="preserve"> </w:t>
      </w:r>
      <w:r w:rsidR="00B525DF" w:rsidRPr="008C2F4D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558A7A9C" w14:textId="77777777" w:rsidR="00AB3188" w:rsidRPr="008C2F4D" w:rsidRDefault="00AB3188" w:rsidP="00644E1E">
      <w:pPr>
        <w:rPr>
          <w:rFonts w:ascii="Lato" w:hAnsi="Lato" w:cs="Arial"/>
          <w:sz w:val="20"/>
          <w:szCs w:val="20"/>
        </w:rPr>
      </w:pPr>
    </w:p>
    <w:p w14:paraId="45C7F735" w14:textId="09913791" w:rsidR="00306F0B" w:rsidRPr="008C2F4D" w:rsidRDefault="00306F0B" w:rsidP="00644E1E">
      <w:pPr>
        <w:rPr>
          <w:rFonts w:ascii="Lato" w:hAnsi="Lato" w:cs="Arial"/>
          <w:sz w:val="20"/>
          <w:szCs w:val="20"/>
        </w:rPr>
      </w:pPr>
      <w:r w:rsidRPr="008C2F4D">
        <w:rPr>
          <w:rFonts w:ascii="Lato" w:hAnsi="Lato" w:cs="Arial"/>
          <w:sz w:val="20"/>
          <w:szCs w:val="20"/>
        </w:rPr>
        <w:t>W szczególności powinna zawierać:</w:t>
      </w:r>
    </w:p>
    <w:p w14:paraId="23638665" w14:textId="1682B6F1" w:rsidR="00587956" w:rsidRPr="009214C9" w:rsidRDefault="00587956" w:rsidP="009214C9">
      <w:pPr>
        <w:pStyle w:val="Nagwek1"/>
        <w:numPr>
          <w:ilvl w:val="0"/>
          <w:numId w:val="6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9214C9">
        <w:rPr>
          <w:rFonts w:ascii="Lato" w:hAnsi="Lato"/>
          <w:b/>
          <w:bCs/>
          <w:color w:val="auto"/>
          <w:sz w:val="24"/>
          <w:szCs w:val="24"/>
        </w:rPr>
        <w:t xml:space="preserve">OGÓLNY OPIS </w:t>
      </w:r>
      <w:r w:rsidR="00FE29A1" w:rsidRPr="009214C9">
        <w:rPr>
          <w:rFonts w:ascii="Lato" w:hAnsi="Lato"/>
          <w:b/>
          <w:bCs/>
          <w:color w:val="auto"/>
          <w:sz w:val="24"/>
          <w:szCs w:val="24"/>
        </w:rPr>
        <w:t>WAGI NIEAUTOMATYCZNEJ:</w:t>
      </w:r>
    </w:p>
    <w:p w14:paraId="062CDD71" w14:textId="77777777" w:rsidR="009214C9" w:rsidRPr="00FE29A1" w:rsidRDefault="009214C9" w:rsidP="009214C9">
      <w:pPr>
        <w:ind w:left="397"/>
        <w:rPr>
          <w:rFonts w:ascii="Lato" w:hAnsi="Lato" w:cs="Arial"/>
          <w:b/>
          <w:sz w:val="20"/>
          <w:szCs w:val="20"/>
        </w:rPr>
      </w:pPr>
    </w:p>
    <w:p w14:paraId="3C2797E0" w14:textId="7BE4D95F" w:rsidR="00CB3528" w:rsidRPr="008C2F4D" w:rsidRDefault="00CB3528" w:rsidP="009214C9">
      <w:pPr>
        <w:pStyle w:val="Default"/>
        <w:numPr>
          <w:ilvl w:val="0"/>
          <w:numId w:val="7"/>
        </w:numPr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Realizowane funkcje i urządzenia dodatkowe. </w:t>
      </w:r>
    </w:p>
    <w:p w14:paraId="55FA3547" w14:textId="244B45B7" w:rsidR="00CB3528" w:rsidRPr="008C2F4D" w:rsidRDefault="00CB3528" w:rsidP="009214C9">
      <w:pPr>
        <w:pStyle w:val="Default"/>
        <w:numPr>
          <w:ilvl w:val="0"/>
          <w:numId w:val="7"/>
        </w:numPr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Budowę części mechanicznej, elektrycznej i pomiarowej. </w:t>
      </w:r>
    </w:p>
    <w:p w14:paraId="7ADADAE0" w14:textId="76BE3A8B" w:rsidR="00CB3528" w:rsidRPr="008C2F4D" w:rsidRDefault="00CB3528" w:rsidP="009214C9">
      <w:pPr>
        <w:pStyle w:val="Default"/>
        <w:numPr>
          <w:ilvl w:val="0"/>
          <w:numId w:val="7"/>
        </w:numPr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Działanie, z uwzględnieniem procedury adjustacji. </w:t>
      </w:r>
    </w:p>
    <w:p w14:paraId="390BCDC5" w14:textId="7AD8E81E" w:rsidR="00CB3528" w:rsidRPr="008C2F4D" w:rsidRDefault="00CB3528" w:rsidP="009214C9">
      <w:pPr>
        <w:pStyle w:val="Default"/>
        <w:numPr>
          <w:ilvl w:val="0"/>
          <w:numId w:val="7"/>
        </w:numPr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Dane techniczne modułów wagi, podzespołów: </w:t>
      </w:r>
    </w:p>
    <w:p w14:paraId="14E1C4ED" w14:textId="77777777" w:rsidR="00CB3528" w:rsidRPr="008C2F4D" w:rsidRDefault="00CB3528" w:rsidP="009214C9">
      <w:pPr>
        <w:pStyle w:val="Default"/>
        <w:numPr>
          <w:ilvl w:val="2"/>
          <w:numId w:val="9"/>
        </w:numPr>
        <w:ind w:left="1134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przetworniki pomiarowe (typy, parametry itp.), </w:t>
      </w:r>
    </w:p>
    <w:p w14:paraId="344C8114" w14:textId="77777777" w:rsidR="00CB3528" w:rsidRPr="008C2F4D" w:rsidRDefault="00CB3528" w:rsidP="009214C9">
      <w:pPr>
        <w:pStyle w:val="Default"/>
        <w:numPr>
          <w:ilvl w:val="2"/>
          <w:numId w:val="9"/>
        </w:numPr>
        <w:ind w:left="1134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system mechaniczny, </w:t>
      </w:r>
    </w:p>
    <w:p w14:paraId="7600B2F4" w14:textId="77777777" w:rsidR="00CB3528" w:rsidRPr="008C2F4D" w:rsidRDefault="00CB3528" w:rsidP="009214C9">
      <w:pPr>
        <w:pStyle w:val="Default"/>
        <w:numPr>
          <w:ilvl w:val="2"/>
          <w:numId w:val="9"/>
        </w:numPr>
        <w:ind w:left="1134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miernik (typy, specyfikacja techniczna), </w:t>
      </w:r>
    </w:p>
    <w:p w14:paraId="13DE40EA" w14:textId="36B790DD" w:rsidR="00CB3528" w:rsidRPr="008C2F4D" w:rsidRDefault="00CB3528" w:rsidP="009214C9">
      <w:pPr>
        <w:pStyle w:val="Default"/>
        <w:numPr>
          <w:ilvl w:val="2"/>
          <w:numId w:val="9"/>
        </w:numPr>
        <w:ind w:left="1134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>wyświetlacz; podając funkcje każdego modułu i jego ułamek pi błędów granicznych dopuszczalnych</w:t>
      </w:r>
      <w:r w:rsidR="00FE29A1">
        <w:rPr>
          <w:rFonts w:ascii="Lato" w:hAnsi="Lato"/>
          <w:sz w:val="20"/>
          <w:szCs w:val="20"/>
        </w:rPr>
        <w:t>.</w:t>
      </w:r>
    </w:p>
    <w:p w14:paraId="506D17AA" w14:textId="6E4DD064" w:rsidR="00CB3528" w:rsidRPr="008C2F4D" w:rsidRDefault="00CB3528" w:rsidP="009214C9">
      <w:pPr>
        <w:pStyle w:val="Default"/>
        <w:numPr>
          <w:ilvl w:val="0"/>
          <w:numId w:val="7"/>
        </w:numPr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>Interfejsy, urządzenia wskazujące i peryferyjne</w:t>
      </w:r>
      <w:r w:rsidR="00FE29A1">
        <w:rPr>
          <w:rFonts w:ascii="Lato" w:hAnsi="Lato"/>
          <w:sz w:val="20"/>
          <w:szCs w:val="20"/>
        </w:rPr>
        <w:t>.</w:t>
      </w:r>
    </w:p>
    <w:p w14:paraId="0431B99E" w14:textId="3A407228" w:rsidR="00CB3528" w:rsidRPr="008C2F4D" w:rsidRDefault="00CB3528" w:rsidP="009214C9">
      <w:pPr>
        <w:pStyle w:val="Default"/>
        <w:numPr>
          <w:ilvl w:val="0"/>
          <w:numId w:val="7"/>
        </w:numPr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Wytyczne </w:t>
      </w:r>
      <w:r w:rsidR="00FE29A1">
        <w:rPr>
          <w:rFonts w:ascii="Lato" w:hAnsi="Lato"/>
          <w:sz w:val="20"/>
          <w:szCs w:val="20"/>
        </w:rPr>
        <w:t>dotyczące</w:t>
      </w:r>
      <w:r w:rsidRPr="008C2F4D">
        <w:rPr>
          <w:rFonts w:ascii="Lato" w:hAnsi="Lato"/>
          <w:sz w:val="20"/>
          <w:szCs w:val="20"/>
        </w:rPr>
        <w:t xml:space="preserve"> instalacji, jeśli istnieją. </w:t>
      </w:r>
    </w:p>
    <w:p w14:paraId="02AA823F" w14:textId="55683CAD" w:rsidR="00CB3528" w:rsidRPr="008C2F4D" w:rsidRDefault="00CB3528" w:rsidP="009214C9">
      <w:pPr>
        <w:pStyle w:val="Default"/>
        <w:numPr>
          <w:ilvl w:val="0"/>
          <w:numId w:val="7"/>
        </w:numPr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Zakres stosowalności / szczegółowy zakres eksploatacji. </w:t>
      </w:r>
    </w:p>
    <w:p w14:paraId="347A3A66" w14:textId="36F8CD0D" w:rsidR="00EE39C3" w:rsidRPr="009214C9" w:rsidRDefault="00CB3528" w:rsidP="00644E1E">
      <w:pPr>
        <w:pStyle w:val="Default"/>
        <w:numPr>
          <w:ilvl w:val="0"/>
          <w:numId w:val="7"/>
        </w:numPr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Informacje dotyczące oznaczeń, sposobów zabezpieczeń istotnych elementów; miejsce nałożenia cech legalizacji. </w:t>
      </w:r>
    </w:p>
    <w:p w14:paraId="501F2ADA" w14:textId="53EBE6E5" w:rsidR="00CB3528" w:rsidRPr="009214C9" w:rsidRDefault="00587956" w:rsidP="009214C9">
      <w:pPr>
        <w:pStyle w:val="Nagwek1"/>
        <w:numPr>
          <w:ilvl w:val="0"/>
          <w:numId w:val="6"/>
        </w:numPr>
        <w:ind w:left="426"/>
        <w:rPr>
          <w:rFonts w:ascii="Lato" w:hAnsi="Lato"/>
          <w:b/>
          <w:bCs/>
          <w:sz w:val="24"/>
          <w:szCs w:val="24"/>
        </w:rPr>
      </w:pPr>
      <w:r w:rsidRPr="009214C9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FE29A1" w:rsidRPr="009214C9">
        <w:rPr>
          <w:rFonts w:ascii="Lato" w:hAnsi="Lato"/>
          <w:b/>
          <w:bCs/>
          <w:color w:val="auto"/>
          <w:sz w:val="24"/>
          <w:szCs w:val="24"/>
        </w:rPr>
        <w:t>:</w:t>
      </w:r>
      <w:r w:rsidR="00CB3528" w:rsidRPr="009214C9">
        <w:rPr>
          <w:rFonts w:ascii="Lato" w:hAnsi="Lato"/>
          <w:b/>
          <w:bCs/>
          <w:color w:val="auto"/>
          <w:sz w:val="24"/>
          <w:szCs w:val="24"/>
        </w:rPr>
        <w:t xml:space="preserve"> </w:t>
      </w:r>
    </w:p>
    <w:p w14:paraId="2BED78FC" w14:textId="77777777" w:rsidR="009214C9" w:rsidRPr="008C2F4D" w:rsidRDefault="009214C9" w:rsidP="009214C9">
      <w:pPr>
        <w:pStyle w:val="Default"/>
        <w:ind w:left="720"/>
        <w:rPr>
          <w:rFonts w:ascii="Lato" w:hAnsi="Lato"/>
          <w:sz w:val="20"/>
          <w:szCs w:val="20"/>
        </w:rPr>
      </w:pPr>
    </w:p>
    <w:p w14:paraId="56BBD831" w14:textId="4D5306EC" w:rsidR="00CB3528" w:rsidRPr="008C2F4D" w:rsidRDefault="00CB3528" w:rsidP="00644E1E">
      <w:pPr>
        <w:autoSpaceDE w:val="0"/>
        <w:autoSpaceDN w:val="0"/>
        <w:adjustRightInd w:val="0"/>
        <w:spacing w:after="57" w:line="233" w:lineRule="atLeast"/>
        <w:ind w:left="395" w:hanging="395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Numeracja w nawiasach 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/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..../ oznacza punkt normy zharmonizowanej PN-EN 45501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F61B852" w14:textId="099856D6" w:rsidR="00CB3528" w:rsidRPr="009214C9" w:rsidRDefault="00CB3528" w:rsidP="009214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Szczegółowy opis typu z wyjaśnieniami koniecznymi do zrozumienia działania przyrządu w formie schematów koncepcyjnych, rysunków wykonawczych oraz wyników obliczeń konstrukcyjnych. </w:t>
      </w:r>
    </w:p>
    <w:p w14:paraId="62E930E6" w14:textId="3CB21070" w:rsidR="00A76C01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Przewidywany zakres stosowania, rodzaj przyrządu (np. waga pomostowa ze skalą dodatnią i ujemną, waga etykietująca).</w:t>
      </w:r>
    </w:p>
    <w:p w14:paraId="2705E55C" w14:textId="4E1805A4" w:rsidR="00CB3528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Ogólna charakterystyka (producent; klasa dokładności; </w:t>
      </w:r>
      <w:r w:rsidRPr="009214C9">
        <w:rPr>
          <w:rFonts w:ascii="Lato" w:eastAsia="Batang" w:hAnsi="Lato" w:cs="Arial"/>
          <w:i/>
          <w:iCs/>
          <w:color w:val="000000"/>
          <w:sz w:val="20"/>
          <w:szCs w:val="20"/>
          <w:lang w:eastAsia="ko-KR"/>
        </w:rPr>
        <w:t>Max, Min</w:t>
      </w: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, </w:t>
      </w:r>
      <w:r w:rsidRPr="009214C9">
        <w:rPr>
          <w:rFonts w:ascii="Lato" w:eastAsia="Batang" w:hAnsi="Lato" w:cs="Arial"/>
          <w:i/>
          <w:iCs/>
          <w:color w:val="000000"/>
          <w:sz w:val="20"/>
          <w:szCs w:val="20"/>
          <w:lang w:eastAsia="ko-KR"/>
        </w:rPr>
        <w:t>e, n</w:t>
      </w: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; jedno-/ wielodziałkowa, wielozakresowa; zakres temperatur pracy, napięcie zasilające, ...) /pkt 7.1/. </w:t>
      </w:r>
    </w:p>
    <w:p w14:paraId="283CD34A" w14:textId="057F5067" w:rsidR="00CB3528" w:rsidRPr="009214C9" w:rsidRDefault="00CB3528" w:rsidP="009214C9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Opis i schematy części składowych, podzespołów, układów wagi. </w:t>
      </w:r>
    </w:p>
    <w:p w14:paraId="408281B1" w14:textId="6C9E9403" w:rsidR="00CB3528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Sposoby zabezpieczenia podzespołów, elementów regulacyjnych, itd. /pkt 4.1.2/ Miejsce umieszczenia oznakowania CE oraz związanych z nim cech /pkt 7.2/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69B64BE6" w14:textId="305B5E8C" w:rsidR="00CB3528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Urządzenia do adiustacji /pkt 4.1.2.5/. Deklaracja producenta, że nie ma innej możliwości wejścia w tryb adiustacji oprócz wymienionych. W przypadku wag elektronicznych, gdy możliwe jest wejście w ten tryb programowo poprzez interfejsy (np. z klawiatury), zastosowanie w wadze </w:t>
      </w:r>
      <w:proofErr w:type="spellStart"/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inkrementowalnego</w:t>
      </w:r>
      <w:proofErr w:type="spellEnd"/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proofErr w:type="spellStart"/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nieresetowalnego</w:t>
      </w:r>
      <w:proofErr w:type="spellEnd"/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licznika liczby adiustacyjnej. </w:t>
      </w:r>
    </w:p>
    <w:p w14:paraId="118AA647" w14:textId="4D05B5F2" w:rsidR="00CB3528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Pomocnicze urządzenia wskazujące lub urządzenia wskazujące z większą rozdzielczością /pkt. 3.4, 4.4.3, 4.13.7/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0F199E9A" w14:textId="08D2577C" w:rsidR="00CB3528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Różne stosowanie urządzeń wskazujących /pkt 4.4.4/. </w:t>
      </w:r>
    </w:p>
    <w:p w14:paraId="64E6453F" w14:textId="19639E2C" w:rsidR="00CB3528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lastRenderedPageBreak/>
        <w:t>Urządzenia drukujące /4.4.5/, drukowanie wyników ważenia /pkt 4.6.11, 4.7.3/ oraz inne wartości /pkt 4.14.4, 4.16/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0FB70C7" w14:textId="3A2B937A" w:rsidR="00CB3528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Urządzenie pamięci danych /pkt 4.4.6/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9227BE6" w14:textId="3F918D0F" w:rsidR="00CB3528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Urządzenia zerujące, podtrzymujące zero /pkt 4.5, 4.6.9, 4.13.2/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3AF81F44" w14:textId="1DB44068" w:rsidR="00CB3528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Urządzenia tarujące /pkt 4.6, 4.10, 4.13.3/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5BD43F28" w14:textId="28160EDE" w:rsidR="00CB3528" w:rsidRPr="009214C9" w:rsidRDefault="00CB3528" w:rsidP="009214C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3" w:lineRule="atLeast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Urządzenia zadające tarę /pkt 4.7, 4.13.4/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887B7FF" w14:textId="13C8F09F" w:rsidR="00B76660" w:rsidRPr="009214C9" w:rsidRDefault="00CB3528" w:rsidP="008A3F4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/>
        <w:ind w:hanging="50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Urządzenia blokujące /pkt 4.8, 4.13.5/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09AAA302" w14:textId="1D7F4812" w:rsidR="00CB3528" w:rsidRPr="009214C9" w:rsidRDefault="00CB3528" w:rsidP="008A3F4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/>
        <w:ind w:hanging="50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Urządzenie poziomujące i wskaźnik poziomu, maksymalne pochylenie /pkt 3.9.1/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23C3075" w14:textId="7B3FB489" w:rsidR="00CB3528" w:rsidRPr="009214C9" w:rsidRDefault="00CB3528" w:rsidP="008A3F4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/>
        <w:ind w:hanging="50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Pomocnicze urządzenie legalizacyjne /pkt 4.9/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0A1BE335" w14:textId="5CF30614" w:rsidR="00CB3528" w:rsidRPr="009214C9" w:rsidRDefault="00CB3528" w:rsidP="008A3F4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/>
        <w:ind w:hanging="50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Wybór zakresów ważenia (w wadze wielozakresowej) /pkt 4.10/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6AE80E8A" w14:textId="3481E05F" w:rsidR="00CB3528" w:rsidRPr="009214C9" w:rsidRDefault="00CB3528" w:rsidP="008A3F4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1" w:lineRule="atLeast"/>
        <w:ind w:hanging="50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Urządzenia wybierające (lub przełączające) między różnymi nośniami ładunku – urządzeniami przekazującymi i różnymi urządzeniami pomiarowymi /pkt 4.11/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6382BD5D" w14:textId="16552BD5" w:rsidR="00480B35" w:rsidRPr="009214C9" w:rsidRDefault="00CB3528" w:rsidP="008A3F4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1" w:lineRule="atLeast"/>
        <w:ind w:hanging="50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Działanie wag kalkulacyjnych (np. w bezpośrednim obrocie handlowym) /pkt 4.14/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:</w:t>
      </w:r>
    </w:p>
    <w:p w14:paraId="29A79518" w14:textId="14A6C480" w:rsidR="00480B35" w:rsidRPr="00772E54" w:rsidRDefault="00CB3528" w:rsidP="00772E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7" w:line="231" w:lineRule="atLeast"/>
        <w:ind w:left="1134" w:hanging="33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specjalne zastosowania /pkt 4.14.4/</w:t>
      </w:r>
      <w:r w:rsidR="00FE29A1"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</w:p>
    <w:p w14:paraId="1D0F7A4F" w14:textId="459F8929" w:rsidR="00480B35" w:rsidRPr="00772E54" w:rsidRDefault="00CB3528" w:rsidP="00772E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7" w:line="231" w:lineRule="atLeast"/>
        <w:ind w:left="1134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zastosowanie samoobsługowe /pkt 4.13.11/</w:t>
      </w:r>
      <w:r w:rsidR="00FE29A1"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</w:p>
    <w:p w14:paraId="75D3F233" w14:textId="6CEE4C2C" w:rsidR="00CB3528" w:rsidRPr="00772E54" w:rsidRDefault="00CB3528" w:rsidP="00772E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7" w:line="231" w:lineRule="atLeast"/>
        <w:ind w:left="1134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etykietowanie cen /pkt 4.16/</w:t>
      </w:r>
      <w:r w:rsidR="00FE29A1"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5EFF95FF" w14:textId="23372753" w:rsidR="00480B35" w:rsidRPr="009214C9" w:rsidRDefault="00480B35" w:rsidP="00772E5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1" w:lineRule="atLeast"/>
        <w:ind w:hanging="50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Interfejsy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:</w:t>
      </w:r>
    </w:p>
    <w:p w14:paraId="0E2A4110" w14:textId="01263C24" w:rsidR="00480B35" w:rsidRPr="00772E54" w:rsidRDefault="00FE29A1" w:rsidP="00772E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31" w:lineRule="atLeast"/>
        <w:ind w:left="1134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t</w:t>
      </w:r>
      <w:r w:rsidR="00CB3528"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yp(y), przeznaczenie, deklaracje odpor</w:t>
      </w:r>
      <w:r w:rsidR="00480B35"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ności na zakłócenia /pkt 5.3.6/</w:t>
      </w:r>
      <w:r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</w:p>
    <w:p w14:paraId="060ECC19" w14:textId="03206996" w:rsidR="00CB3528" w:rsidRPr="00772E54" w:rsidRDefault="00CB3528" w:rsidP="00772E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31" w:lineRule="atLeast"/>
        <w:ind w:left="1134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urządzenia peryferyjne do podłączenia w ramach badania właściwości przy zakłóceniach /pkt 5.4.2/</w:t>
      </w:r>
      <w:r w:rsidR="00FE29A1" w:rsidRPr="00772E54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00B880ED" w14:textId="07028A97" w:rsidR="00CB3528" w:rsidRPr="009214C9" w:rsidRDefault="00CB3528" w:rsidP="00772E5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1" w:lineRule="atLeast"/>
        <w:ind w:hanging="50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Urządzenia peryferyjne, np. drukarki, zdalne wyświetlacze, objęte certyfikatem badania typu UE. </w:t>
      </w:r>
    </w:p>
    <w:p w14:paraId="4136AD29" w14:textId="1619A550" w:rsidR="00CB3528" w:rsidRPr="009214C9" w:rsidRDefault="00CB3528" w:rsidP="00772E5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57" w:line="231" w:lineRule="atLeast"/>
        <w:ind w:hanging="50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Inne urządzenia lub funkcje, np. do celów innych niż do określenia masy (nie poddane ocenie zgodności)</w:t>
      </w:r>
      <w:r w:rsidR="00FE29A1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699DC60D" w14:textId="77777777" w:rsidR="00CB3528" w:rsidRPr="008C2F4D" w:rsidRDefault="00CB3528" w:rsidP="00772E54">
      <w:pPr>
        <w:numPr>
          <w:ilvl w:val="1"/>
          <w:numId w:val="11"/>
        </w:numPr>
        <w:autoSpaceDE w:val="0"/>
        <w:autoSpaceDN w:val="0"/>
        <w:adjustRightInd w:val="0"/>
        <w:spacing w:after="30"/>
        <w:ind w:hanging="50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Dodatkowe wymagania dla wag posiadających oprogramowanie /pkt 5.5/. </w:t>
      </w:r>
    </w:p>
    <w:p w14:paraId="64C3C2F4" w14:textId="77777777" w:rsidR="00CB3528" w:rsidRPr="008C2F4D" w:rsidRDefault="00CB3528" w:rsidP="009214C9">
      <w:pPr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Informacje na temat przypadków szczególnych. </w:t>
      </w:r>
    </w:p>
    <w:p w14:paraId="451AE980" w14:textId="4443D262" w:rsidR="00CB3528" w:rsidRPr="00C14911" w:rsidRDefault="00CB3528" w:rsidP="00C14911">
      <w:pPr>
        <w:autoSpaceDE w:val="0"/>
        <w:autoSpaceDN w:val="0"/>
        <w:adjustRightInd w:val="0"/>
        <w:spacing w:before="120" w:after="57" w:line="231" w:lineRule="atLeast"/>
        <w:ind w:left="284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3.1. Podział przyrządu na moduły -</w:t>
      </w:r>
      <w:r w:rsidR="00FE29A1"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np. przetworniki pomiarowe, układ mechaniczny, miernik, wyświetlacz </w:t>
      </w:r>
      <w:r w:rsidR="00C14911">
        <w:rPr>
          <w:rFonts w:ascii="Lato" w:eastAsia="Batang" w:hAnsi="Lato" w:cs="Arial"/>
          <w:color w:val="000000"/>
          <w:sz w:val="20"/>
          <w:szCs w:val="20"/>
          <w:lang w:eastAsia="ko-KR"/>
        </w:rPr>
        <w:br/>
      </w: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z przedstawieniem działania każdego modułu oraz ułamka pi błędów granicznych dopuszczalnych. </w:t>
      </w:r>
      <w:r w:rsidR="00C14911">
        <w:rPr>
          <w:rFonts w:ascii="Lato" w:eastAsia="Batang" w:hAnsi="Lato" w:cs="Arial"/>
          <w:color w:val="000000"/>
          <w:sz w:val="20"/>
          <w:szCs w:val="20"/>
          <w:lang w:eastAsia="ko-KR"/>
        </w:rPr>
        <w:br/>
      </w: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W przypadku modułów, które zostały już zatwierdzone, podanie świadectw ekspertyzy (certyfikatów badań, certyfikatów oceny, certyfikatów części) lub certyfikatów badania typu UE /pkt 3.10.2/. W przypadku przetworników pomiarowych, odniesienie do obliczeń zgodnych z dokumentem OIML R60 /pkt F.2/, </w:t>
      </w:r>
      <w:r w:rsidR="00C14911">
        <w:rPr>
          <w:rFonts w:ascii="Lato" w:eastAsia="Batang" w:hAnsi="Lato" w:cs="Arial"/>
          <w:color w:val="000000"/>
          <w:sz w:val="20"/>
          <w:szCs w:val="20"/>
          <w:lang w:eastAsia="ko-KR"/>
        </w:rPr>
        <w:br/>
      </w: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patrz także punkt 8. </w:t>
      </w:r>
    </w:p>
    <w:p w14:paraId="347CABB1" w14:textId="48291FEB" w:rsidR="00CB3528" w:rsidRPr="00C14911" w:rsidRDefault="00CB3528" w:rsidP="00C14911">
      <w:pPr>
        <w:autoSpaceDE w:val="0"/>
        <w:autoSpaceDN w:val="0"/>
        <w:adjustRightInd w:val="0"/>
        <w:spacing w:after="57" w:line="231" w:lineRule="atLeast"/>
        <w:ind w:left="284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3.2. Szczególne warunki działania /pkt 3.9.5/</w:t>
      </w:r>
      <w:r w:rsidR="00FE29A1"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2DD37720" w14:textId="44823EAD" w:rsidR="00CB3528" w:rsidRPr="00C14911" w:rsidRDefault="00CB3528" w:rsidP="00C14911">
      <w:pPr>
        <w:autoSpaceDE w:val="0"/>
        <w:autoSpaceDN w:val="0"/>
        <w:adjustRightInd w:val="0"/>
        <w:spacing w:after="57" w:line="231" w:lineRule="atLeast"/>
        <w:ind w:left="284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3.3. Reakcja wagi na odchylenia znaczące /pkt 5.1.1, 5.2, 4.13.9/</w:t>
      </w:r>
      <w:r w:rsidR="00FE29A1"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248DC797" w14:textId="6CCF5770" w:rsidR="00CB3528" w:rsidRPr="00C14911" w:rsidRDefault="00CB3528" w:rsidP="00C14911">
      <w:pPr>
        <w:autoSpaceDE w:val="0"/>
        <w:autoSpaceDN w:val="0"/>
        <w:adjustRightInd w:val="0"/>
        <w:spacing w:after="57" w:line="231" w:lineRule="atLeast"/>
        <w:ind w:left="284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3.4. Działanie wyświetlacza po włączeniu /pkt 5.3.1/</w:t>
      </w:r>
      <w:r w:rsidR="00FE29A1"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6E2EB1D6" w14:textId="695A435E" w:rsidR="00CB3528" w:rsidRPr="00C14911" w:rsidRDefault="00CB3528" w:rsidP="00C14911">
      <w:pPr>
        <w:autoSpaceDE w:val="0"/>
        <w:autoSpaceDN w:val="0"/>
        <w:adjustRightInd w:val="0"/>
        <w:ind w:left="284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3.5. Inne szczególne informacje.</w:t>
      </w:r>
    </w:p>
    <w:p w14:paraId="1069519C" w14:textId="6B10FB34" w:rsidR="00480B35" w:rsidRPr="009214C9" w:rsidRDefault="00CB3528" w:rsidP="009214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Schematy ideowe, rysunki i schematy składników, podzespołów, układów elektrycznych itp., w szczególności:</w:t>
      </w:r>
    </w:p>
    <w:p w14:paraId="336C92AF" w14:textId="08610D02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nośna ładunku,</w:t>
      </w:r>
    </w:p>
    <w:p w14:paraId="67440236" w14:textId="278CDD1B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układ dźwigniowy i materiał, z którego są wykonane dźwignie, jeżeli nie zostały zaprojektowane zgodnie z /pkt 6.3.2 -6.3.4/,</w:t>
      </w:r>
    </w:p>
    <w:p w14:paraId="3715CC20" w14:textId="621D8712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elementy przenoszące obciążenie na przetworniki pomiarowe,</w:t>
      </w:r>
    </w:p>
    <w:p w14:paraId="5A44C0CA" w14:textId="4EBF0643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elementy łączące elektryczne, np. przewody łączące przetworniki z miernikiem,</w:t>
      </w:r>
    </w:p>
    <w:p w14:paraId="1AA4E512" w14:textId="2D97E108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przetworniki, jeżeli nie zostały podane jako moduły w punkcie 3.1,</w:t>
      </w:r>
    </w:p>
    <w:p w14:paraId="42F4954B" w14:textId="4EADF57C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miernik: schemat blokowy,</w:t>
      </w:r>
    </w:p>
    <w:p w14:paraId="3C10291A" w14:textId="1FEB4310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schemat obwodu elektrycznego,</w:t>
      </w:r>
    </w:p>
    <w:p w14:paraId="53058F87" w14:textId="6A1F9391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klawiatura z opisem funkcji przypisanych do każdego przycisku,</w:t>
      </w:r>
    </w:p>
    <w:p w14:paraId="17601A04" w14:textId="68728331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>rysunek płyty głównej /pkt 7.1/,</w:t>
      </w:r>
    </w:p>
    <w:p w14:paraId="5CD2DB7A" w14:textId="3D1E6DB2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próbki wszystkich przewidywanych wydruków, patrz także pkt. 2.5, </w:t>
      </w:r>
    </w:p>
    <w:p w14:paraId="203AB0DD" w14:textId="1B74B848" w:rsidR="00CB3528" w:rsidRPr="00C14911" w:rsidRDefault="00CB3528" w:rsidP="00C14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ind w:left="127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1491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przedstawienie przyrządu (rysunek lub zdjęcie), ze wskazaniem miejsc, w których powinny być umieszczone cechy legalizacji i zabezpieczające. </w:t>
      </w:r>
    </w:p>
    <w:p w14:paraId="069FC416" w14:textId="613E65F1" w:rsidR="00CB3528" w:rsidRPr="009214C9" w:rsidRDefault="00CB3528" w:rsidP="009214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Oświadczenia pełnego zastosowania normy zharmonizowanej PN-EN 45501. W przypadku odstępstw, powinno się odnieść do punktów załącznika I dyrektywy oraz normy PN-EN 45501, jak i do odpowiednich podpunktów w zakresie punktów 2. i 3. tego rozdziału. </w:t>
      </w:r>
    </w:p>
    <w:p w14:paraId="3A324381" w14:textId="77777777" w:rsidR="00CB3528" w:rsidRPr="00C97660" w:rsidRDefault="00CB3528" w:rsidP="00C97660">
      <w:pPr>
        <w:autoSpaceDE w:val="0"/>
        <w:autoSpaceDN w:val="0"/>
        <w:adjustRightInd w:val="0"/>
        <w:spacing w:after="30"/>
        <w:ind w:left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C9766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Gdy norma zharmonizowana nie jest stosowana opis rozwiązań przyjętych w celu spełnienia wymagań zasadniczych rozporządzenia. </w:t>
      </w:r>
    </w:p>
    <w:p w14:paraId="35547897" w14:textId="34CEE3A6" w:rsidR="00CB3528" w:rsidRPr="009214C9" w:rsidRDefault="00CB3528" w:rsidP="009214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7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Wyniki badań wykonanych przez producenta, na formularzu podanym w zaleceniach OIML R 76-2, wraz </w:t>
      </w:r>
      <w:r w:rsidR="00C97660">
        <w:rPr>
          <w:rFonts w:ascii="Lato" w:eastAsia="Batang" w:hAnsi="Lato" w:cs="Arial"/>
          <w:color w:val="000000"/>
          <w:sz w:val="20"/>
          <w:szCs w:val="20"/>
          <w:lang w:eastAsia="ko-KR"/>
        </w:rPr>
        <w:br/>
      </w: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z potwierdzeniem kompetencji. </w:t>
      </w:r>
    </w:p>
    <w:p w14:paraId="04A312B3" w14:textId="5663F98E" w:rsidR="00CB3528" w:rsidRPr="009214C9" w:rsidRDefault="00CB3528" w:rsidP="009214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7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lastRenderedPageBreak/>
        <w:t>Protok</w:t>
      </w:r>
      <w:r w:rsidR="00644E1E"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>o</w:t>
      </w: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ły badań z innych laboratoriów, zgodnie z punktem 6. </w:t>
      </w:r>
    </w:p>
    <w:p w14:paraId="5D16FCDC" w14:textId="2EEF5468" w:rsidR="00B86987" w:rsidRPr="00C97660" w:rsidRDefault="00CB3528" w:rsidP="00C9766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9214C9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Certyfikaty innych badań typu UE bądź oddzielne badania dotyczące modułów lub innych części wymienionych w dokumentacji, łącznie z protokółami badań, kiedy jest to możliwe. -patrz także punkt 3.1. </w:t>
      </w:r>
    </w:p>
    <w:p w14:paraId="14ADA928" w14:textId="4A799587" w:rsidR="00306F0B" w:rsidRPr="00C97660" w:rsidRDefault="00A17CC7" w:rsidP="00C97660">
      <w:pPr>
        <w:pStyle w:val="Nagwek1"/>
        <w:numPr>
          <w:ilvl w:val="0"/>
          <w:numId w:val="6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C97660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C97660">
        <w:rPr>
          <w:rFonts w:ascii="Lato" w:hAnsi="Lato"/>
          <w:b/>
          <w:bCs/>
          <w:color w:val="auto"/>
          <w:sz w:val="24"/>
          <w:szCs w:val="24"/>
        </w:rPr>
        <w:t>NNE DOKUMENTY</w:t>
      </w:r>
      <w:r w:rsidR="00FE29A1" w:rsidRPr="00C97660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653F0FE3" w14:textId="77777777" w:rsidR="00CB3528" w:rsidRPr="008C2F4D" w:rsidRDefault="00CB3528" w:rsidP="00644E1E">
      <w:pPr>
        <w:pStyle w:val="Default"/>
        <w:rPr>
          <w:rFonts w:ascii="Lato" w:hAnsi="Lato"/>
          <w:sz w:val="20"/>
          <w:szCs w:val="20"/>
        </w:rPr>
      </w:pPr>
    </w:p>
    <w:p w14:paraId="3F5165AF" w14:textId="77777777" w:rsidR="00CB3528" w:rsidRPr="008C2F4D" w:rsidRDefault="00CB3528" w:rsidP="00644E1E">
      <w:pPr>
        <w:pStyle w:val="Default"/>
        <w:numPr>
          <w:ilvl w:val="0"/>
          <w:numId w:val="5"/>
        </w:numPr>
        <w:ind w:left="397" w:hanging="397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Instrukcję obsługi wagi w języku polskim. </w:t>
      </w:r>
    </w:p>
    <w:p w14:paraId="30B6CBD5" w14:textId="3911D1C2" w:rsidR="00734FA6" w:rsidRPr="008C2F4D" w:rsidRDefault="00CB3528" w:rsidP="00644E1E">
      <w:pPr>
        <w:pStyle w:val="Default"/>
        <w:numPr>
          <w:ilvl w:val="0"/>
          <w:numId w:val="5"/>
        </w:numPr>
        <w:ind w:left="360" w:hanging="36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>W przypadku wag elektronicznych -</w:t>
      </w:r>
      <w:r w:rsidR="00FE29A1">
        <w:rPr>
          <w:rFonts w:ascii="Lato" w:hAnsi="Lato"/>
          <w:sz w:val="20"/>
          <w:szCs w:val="20"/>
        </w:rPr>
        <w:t xml:space="preserve"> </w:t>
      </w:r>
      <w:r w:rsidRPr="008C2F4D">
        <w:rPr>
          <w:rFonts w:ascii="Lato" w:hAnsi="Lato"/>
          <w:sz w:val="20"/>
          <w:szCs w:val="20"/>
        </w:rPr>
        <w:t xml:space="preserve">deklarację producenta </w:t>
      </w:r>
      <w:r w:rsidR="00FE29A1">
        <w:rPr>
          <w:rFonts w:ascii="Lato" w:hAnsi="Lato"/>
          <w:sz w:val="20"/>
          <w:szCs w:val="20"/>
        </w:rPr>
        <w:t>dotyczącą</w:t>
      </w:r>
      <w:r w:rsidRPr="008C2F4D">
        <w:rPr>
          <w:rFonts w:ascii="Lato" w:hAnsi="Lato"/>
          <w:sz w:val="20"/>
          <w:szCs w:val="20"/>
        </w:rPr>
        <w:t xml:space="preserve"> wymagań dla operacji realizowanych programowo, których sprawdzenie nie jest dostępne np. zabezpieczenie przekazywania danych przez interfejs lub opis przewidzianych w wadze zabezpieczeń (w tym programowych) uniemożliwiających niewłaściwe lub niezgodne z prawem stosowanie. </w:t>
      </w:r>
    </w:p>
    <w:p w14:paraId="6FB67B60" w14:textId="77777777" w:rsidR="00CB3528" w:rsidRPr="008C2F4D" w:rsidRDefault="00CB3528" w:rsidP="00644E1E">
      <w:pPr>
        <w:pStyle w:val="Default"/>
        <w:numPr>
          <w:ilvl w:val="0"/>
          <w:numId w:val="5"/>
        </w:numPr>
        <w:ind w:left="360" w:hanging="36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 Aktualny wyciąg z rejestru działalności gospodarczej właściwego dla zgłaszającego. </w:t>
      </w:r>
    </w:p>
    <w:p w14:paraId="46A7F947" w14:textId="77777777" w:rsidR="00CB3528" w:rsidRPr="008C2F4D" w:rsidRDefault="00CB3528" w:rsidP="00644E1E">
      <w:pPr>
        <w:pStyle w:val="Default"/>
        <w:numPr>
          <w:ilvl w:val="0"/>
          <w:numId w:val="5"/>
        </w:numPr>
        <w:ind w:left="360" w:hanging="36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Dokumenty potwierdzające ustanowienie zgłaszającego jako upoważnionego przedstawiciela producenta urządzenia wraz z zakresem uprawnień (dokumenty należy załączyć, jeśli zgłaszającym jest upoważniony przedstawiciel). </w:t>
      </w:r>
    </w:p>
    <w:p w14:paraId="310498C5" w14:textId="42DFE121" w:rsidR="009E3FAF" w:rsidRPr="00C97660" w:rsidRDefault="00CB3528" w:rsidP="00644E1E">
      <w:pPr>
        <w:pStyle w:val="Default"/>
        <w:numPr>
          <w:ilvl w:val="0"/>
          <w:numId w:val="5"/>
        </w:numPr>
        <w:tabs>
          <w:tab w:val="left" w:pos="360"/>
        </w:tabs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Analizę i ocenę ryzyka w zakresie dokonywanej oceny zgodności. </w:t>
      </w:r>
    </w:p>
    <w:p w14:paraId="186582E1" w14:textId="3CB886D7" w:rsidR="00A17CC7" w:rsidRPr="00C97660" w:rsidRDefault="00C97660" w:rsidP="00C97660">
      <w:pPr>
        <w:pStyle w:val="Nagwek1"/>
        <w:numPr>
          <w:ilvl w:val="0"/>
          <w:numId w:val="6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C97660">
        <w:rPr>
          <w:rFonts w:ascii="Lato" w:hAnsi="Lato"/>
          <w:b/>
          <w:bCs/>
          <w:color w:val="auto"/>
          <w:sz w:val="24"/>
          <w:szCs w:val="24"/>
        </w:rPr>
        <w:t xml:space="preserve">DOKUMENTACJĘ OPROGRAMOWANIA </w:t>
      </w:r>
    </w:p>
    <w:p w14:paraId="095AA5E4" w14:textId="77777777" w:rsidR="006824E8" w:rsidRPr="008C2F4D" w:rsidRDefault="006824E8" w:rsidP="00644E1E">
      <w:pPr>
        <w:rPr>
          <w:rFonts w:ascii="Lato" w:hAnsi="Lato" w:cs="Arial"/>
          <w:b/>
          <w:caps/>
          <w:sz w:val="20"/>
          <w:szCs w:val="20"/>
        </w:rPr>
      </w:pPr>
    </w:p>
    <w:p w14:paraId="759ADF7C" w14:textId="77777777" w:rsidR="00A17CC7" w:rsidRPr="008C2F4D" w:rsidRDefault="00A17CC7" w:rsidP="00644E1E">
      <w:pPr>
        <w:ind w:right="-50"/>
        <w:rPr>
          <w:rFonts w:ascii="Lato" w:hAnsi="Lato" w:cs="Arial"/>
          <w:sz w:val="20"/>
          <w:szCs w:val="20"/>
        </w:rPr>
      </w:pPr>
      <w:r w:rsidRPr="008C2F4D">
        <w:rPr>
          <w:rFonts w:ascii="Lato" w:hAnsi="Lato" w:cs="Arial"/>
          <w:sz w:val="20"/>
          <w:szCs w:val="20"/>
        </w:rPr>
        <w:tab/>
        <w:t xml:space="preserve">W przypadku </w:t>
      </w:r>
      <w:r w:rsidR="00BE51B1" w:rsidRPr="008C2F4D">
        <w:rPr>
          <w:rFonts w:ascii="Lato" w:hAnsi="Lato" w:cs="Arial"/>
          <w:sz w:val="20"/>
          <w:szCs w:val="20"/>
        </w:rPr>
        <w:t xml:space="preserve">wag </w:t>
      </w:r>
      <w:r w:rsidR="00734FA6" w:rsidRPr="008C2F4D">
        <w:rPr>
          <w:rFonts w:ascii="Lato" w:hAnsi="Lato" w:cs="Arial"/>
          <w:sz w:val="20"/>
          <w:szCs w:val="20"/>
        </w:rPr>
        <w:t>nie</w:t>
      </w:r>
      <w:r w:rsidR="00BE51B1" w:rsidRPr="008C2F4D">
        <w:rPr>
          <w:rFonts w:ascii="Lato" w:hAnsi="Lato" w:cs="Arial"/>
          <w:sz w:val="20"/>
          <w:szCs w:val="20"/>
        </w:rPr>
        <w:t xml:space="preserve">automatycznych </w:t>
      </w:r>
      <w:r w:rsidRPr="008C2F4D">
        <w:rPr>
          <w:rFonts w:ascii="Lato" w:hAnsi="Lato" w:cs="Arial"/>
          <w:sz w:val="20"/>
          <w:szCs w:val="20"/>
        </w:rPr>
        <w:t>z oprogramowaniem, należy dostarczyć dokumentację tego oprogramowania opracowaną według „</w:t>
      </w:r>
      <w:r w:rsidRPr="008C2F4D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8C2F4D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Pr="008C2F4D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8C2F4D">
        <w:rPr>
          <w:rFonts w:ascii="Lato" w:hAnsi="Lato" w:cs="Arial"/>
          <w:color w:val="0000FF"/>
          <w:sz w:val="20"/>
          <w:szCs w:val="20"/>
          <w:u w:val="single"/>
        </w:rPr>
        <w:t>2014/3</w:t>
      </w:r>
      <w:r w:rsidR="00734FA6" w:rsidRPr="008C2F4D">
        <w:rPr>
          <w:rFonts w:ascii="Lato" w:hAnsi="Lato" w:cs="Arial"/>
          <w:color w:val="0000FF"/>
          <w:sz w:val="20"/>
          <w:szCs w:val="20"/>
          <w:u w:val="single"/>
        </w:rPr>
        <w:t>1</w:t>
      </w:r>
      <w:r w:rsidR="00B70616" w:rsidRPr="008C2F4D">
        <w:rPr>
          <w:rFonts w:ascii="Lato" w:hAnsi="Lato" w:cs="Arial"/>
          <w:color w:val="0000FF"/>
          <w:sz w:val="20"/>
          <w:szCs w:val="20"/>
          <w:u w:val="single"/>
        </w:rPr>
        <w:t>/UE</w:t>
      </w:r>
      <w:r w:rsidRPr="008C2F4D">
        <w:rPr>
          <w:rFonts w:ascii="Lato" w:hAnsi="Lato" w:cs="Arial"/>
          <w:color w:val="0000FF"/>
          <w:sz w:val="20"/>
          <w:szCs w:val="20"/>
          <w:u w:val="single"/>
        </w:rPr>
        <w:t xml:space="preserve"> (</w:t>
      </w:r>
      <w:r w:rsidR="00734FA6" w:rsidRPr="008C2F4D">
        <w:rPr>
          <w:rFonts w:ascii="Lato" w:hAnsi="Lato" w:cs="Arial"/>
          <w:color w:val="0000FF"/>
          <w:sz w:val="20"/>
          <w:szCs w:val="20"/>
          <w:u w:val="single"/>
        </w:rPr>
        <w:t>NAWI</w:t>
      </w:r>
      <w:r w:rsidRPr="008C2F4D">
        <w:rPr>
          <w:rFonts w:ascii="Lato" w:hAnsi="Lato" w:cs="Arial"/>
          <w:color w:val="0000FF"/>
          <w:sz w:val="20"/>
          <w:szCs w:val="20"/>
          <w:u w:val="single"/>
        </w:rPr>
        <w:t>D)</w:t>
      </w:r>
      <w:r w:rsidRPr="008C2F4D">
        <w:rPr>
          <w:rFonts w:ascii="Lato" w:hAnsi="Lato" w:cs="Arial"/>
          <w:sz w:val="20"/>
          <w:szCs w:val="20"/>
        </w:rPr>
        <w:t>”</w:t>
      </w:r>
    </w:p>
    <w:p w14:paraId="517C9913" w14:textId="50A0E3BE" w:rsidR="00B145B5" w:rsidRPr="008C2F4D" w:rsidRDefault="00513806" w:rsidP="00644E1E">
      <w:pPr>
        <w:ind w:right="-50"/>
        <w:rPr>
          <w:rFonts w:ascii="Lato" w:hAnsi="Lato" w:cs="Arial"/>
          <w:sz w:val="20"/>
          <w:szCs w:val="20"/>
        </w:rPr>
      </w:pPr>
      <w:r w:rsidRPr="008C2F4D">
        <w:rPr>
          <w:rFonts w:ascii="Lato" w:hAnsi="Lato" w:cs="Arial"/>
          <w:sz w:val="20"/>
          <w:szCs w:val="20"/>
        </w:rPr>
        <w:tab/>
      </w:r>
      <w:r w:rsidR="0010701A" w:rsidRPr="008C2F4D">
        <w:rPr>
          <w:rFonts w:ascii="Lato" w:hAnsi="Lato" w:cs="Arial"/>
          <w:sz w:val="20"/>
          <w:szCs w:val="20"/>
        </w:rPr>
        <w:t>W przypadku wstępnego stwierdzenia</w:t>
      </w:r>
      <w:r w:rsidR="00FE29A1">
        <w:rPr>
          <w:rFonts w:ascii="Lato" w:hAnsi="Lato" w:cs="Arial"/>
          <w:sz w:val="20"/>
          <w:szCs w:val="20"/>
        </w:rPr>
        <w:t>,</w:t>
      </w:r>
      <w:r w:rsidR="0010701A" w:rsidRPr="008C2F4D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8C2F4D">
        <w:rPr>
          <w:rFonts w:ascii="Lato" w:hAnsi="Lato" w:cs="Arial"/>
          <w:sz w:val="20"/>
          <w:szCs w:val="20"/>
        </w:rPr>
        <w:t xml:space="preserve">zgłaszającego </w:t>
      </w:r>
      <w:r w:rsidR="0010701A" w:rsidRPr="008C2F4D">
        <w:rPr>
          <w:rFonts w:ascii="Lato" w:hAnsi="Lato" w:cs="Arial"/>
          <w:sz w:val="20"/>
          <w:szCs w:val="20"/>
        </w:rPr>
        <w:t>przyrząd do badań uwzględnione w opisie</w:t>
      </w:r>
      <w:r w:rsidR="00873388" w:rsidRPr="008C2F4D">
        <w:rPr>
          <w:rFonts w:ascii="Lato" w:hAnsi="Lato" w:cs="Arial"/>
          <w:sz w:val="20"/>
          <w:szCs w:val="20"/>
        </w:rPr>
        <w:t xml:space="preserve"> </w:t>
      </w:r>
      <w:r w:rsidR="00FE29A1">
        <w:rPr>
          <w:rFonts w:ascii="Lato" w:hAnsi="Lato" w:cs="Arial"/>
          <w:sz w:val="20"/>
          <w:szCs w:val="20"/>
        </w:rPr>
        <w:t>Departament Certyfikacji</w:t>
      </w:r>
      <w:r w:rsidR="0010701A" w:rsidRPr="008C2F4D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8C2F4D">
        <w:rPr>
          <w:rFonts w:ascii="Lato" w:hAnsi="Lato" w:cs="Arial"/>
          <w:sz w:val="20"/>
          <w:szCs w:val="20"/>
        </w:rPr>
        <w:t>zgłaszającego</w:t>
      </w:r>
      <w:r w:rsidR="0010701A" w:rsidRPr="008C2F4D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rozpoczęcie technicznych badań przyrządu. </w:t>
      </w:r>
    </w:p>
    <w:p w14:paraId="34093FA6" w14:textId="77777777" w:rsidR="00C86A77" w:rsidRPr="008C2F4D" w:rsidRDefault="00C86A77" w:rsidP="00644E1E">
      <w:pPr>
        <w:ind w:right="-50"/>
        <w:rPr>
          <w:rFonts w:ascii="Lato" w:hAnsi="Lato" w:cs="Arial"/>
          <w:sz w:val="20"/>
          <w:szCs w:val="20"/>
        </w:rPr>
      </w:pPr>
    </w:p>
    <w:p w14:paraId="61DBA3A9" w14:textId="474DC165" w:rsidR="00C86A77" w:rsidRPr="008C2F4D" w:rsidRDefault="00C86A77" w:rsidP="00644E1E">
      <w:pPr>
        <w:ind w:right="-50"/>
        <w:rPr>
          <w:rFonts w:ascii="Lato" w:hAnsi="Lato" w:cs="Arial"/>
          <w:sz w:val="20"/>
          <w:szCs w:val="20"/>
        </w:rPr>
      </w:pPr>
      <w:r w:rsidRPr="008C2F4D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8812CE">
        <w:rPr>
          <w:rFonts w:ascii="Lato" w:hAnsi="Lato" w:cs="Arial"/>
          <w:sz w:val="20"/>
          <w:szCs w:val="20"/>
        </w:rPr>
        <w:t xml:space="preserve">Departament Certyfikacji </w:t>
      </w:r>
      <w:r w:rsidRPr="008C2F4D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8C2F4D">
        <w:rPr>
          <w:rFonts w:ascii="Lato" w:hAnsi="Lato" w:cs="Arial"/>
          <w:sz w:val="20"/>
          <w:szCs w:val="20"/>
        </w:rPr>
        <w:br/>
      </w:r>
      <w:r w:rsidRPr="008C2F4D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EB6BED" w:rsidRPr="008C2F4D">
        <w:rPr>
          <w:rFonts w:ascii="Lato" w:hAnsi="Lato" w:cs="Arial"/>
          <w:sz w:val="20"/>
          <w:szCs w:val="20"/>
        </w:rPr>
        <w:t>oceny zgodności</w:t>
      </w:r>
      <w:r w:rsidRPr="008C2F4D">
        <w:rPr>
          <w:rFonts w:ascii="Lato" w:hAnsi="Lato" w:cs="Arial"/>
          <w:sz w:val="20"/>
          <w:szCs w:val="20"/>
        </w:rPr>
        <w:t>.</w:t>
      </w:r>
    </w:p>
    <w:p w14:paraId="42227ADD" w14:textId="77777777" w:rsidR="00C86A77" w:rsidRPr="008C2F4D" w:rsidRDefault="00C86A77" w:rsidP="00644E1E">
      <w:pPr>
        <w:ind w:right="-50"/>
        <w:rPr>
          <w:rFonts w:ascii="Lato" w:hAnsi="Lato"/>
        </w:rPr>
      </w:pPr>
    </w:p>
    <w:sectPr w:rsidR="00C86A77" w:rsidRPr="008C2F4D" w:rsidSect="00820F75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5462" w14:textId="77777777" w:rsidR="00820F75" w:rsidRDefault="00820F75">
      <w:r>
        <w:separator/>
      </w:r>
    </w:p>
  </w:endnote>
  <w:endnote w:type="continuationSeparator" w:id="0">
    <w:p w14:paraId="641B0284" w14:textId="77777777" w:rsidR="00820F75" w:rsidRDefault="0082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2A17" w14:textId="77777777" w:rsidR="00820F75" w:rsidRDefault="00820F75">
      <w:r>
        <w:separator/>
      </w:r>
    </w:p>
  </w:footnote>
  <w:footnote w:type="continuationSeparator" w:id="0">
    <w:p w14:paraId="408A37A0" w14:textId="77777777" w:rsidR="00820F75" w:rsidRDefault="0082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D868" w14:textId="77777777" w:rsidR="00644E1E" w:rsidRDefault="00644E1E" w:rsidP="00644E1E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1438517D" wp14:editId="4F9AEF37">
          <wp:extent cx="952500" cy="704850"/>
          <wp:effectExtent l="0" t="0" r="0" b="0"/>
          <wp:docPr id="621201730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0ADAF57C" w14:textId="77777777" w:rsidR="00644E1E" w:rsidRPr="00BB1079" w:rsidRDefault="00644E1E" w:rsidP="00644E1E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1CB971D7" w14:textId="6F6ECA44" w:rsidR="00802074" w:rsidRPr="00644E1E" w:rsidRDefault="00644E1E" w:rsidP="00644E1E">
    <w:pPr>
      <w:rPr>
        <w:rFonts w:ascii="Lato" w:hAnsi="Lato"/>
        <w:bCs/>
        <w:sz w:val="18"/>
        <w:szCs w:val="18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65B"/>
    <w:multiLevelType w:val="hybridMultilevel"/>
    <w:tmpl w:val="72906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20473"/>
    <w:multiLevelType w:val="hybridMultilevel"/>
    <w:tmpl w:val="C0564532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251B"/>
    <w:multiLevelType w:val="hybridMultilevel"/>
    <w:tmpl w:val="3C96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3E00"/>
    <w:multiLevelType w:val="hybridMultilevel"/>
    <w:tmpl w:val="7248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10F76"/>
    <w:multiLevelType w:val="multilevel"/>
    <w:tmpl w:val="FC98FB9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4F6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061F14"/>
    <w:multiLevelType w:val="hybridMultilevel"/>
    <w:tmpl w:val="6698754E"/>
    <w:lvl w:ilvl="0" w:tplc="8D020BA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E5BB3"/>
    <w:multiLevelType w:val="hybridMultilevel"/>
    <w:tmpl w:val="560C5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D58B5"/>
    <w:multiLevelType w:val="hybridMultilevel"/>
    <w:tmpl w:val="6AEB47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4699A80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A113D1"/>
    <w:multiLevelType w:val="hybridMultilevel"/>
    <w:tmpl w:val="81AAF386"/>
    <w:lvl w:ilvl="0" w:tplc="028CFFC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C4C84"/>
    <w:multiLevelType w:val="hybridMultilevel"/>
    <w:tmpl w:val="731A0C04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04745"/>
    <w:multiLevelType w:val="multilevel"/>
    <w:tmpl w:val="079C5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284214"/>
    <w:multiLevelType w:val="hybridMultilevel"/>
    <w:tmpl w:val="21448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85CEE"/>
    <w:multiLevelType w:val="hybridMultilevel"/>
    <w:tmpl w:val="C8564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AF5C6D"/>
    <w:multiLevelType w:val="hybridMultilevel"/>
    <w:tmpl w:val="F0A5B2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2A0213"/>
    <w:multiLevelType w:val="hybridMultilevel"/>
    <w:tmpl w:val="6A6AC920"/>
    <w:lvl w:ilvl="0" w:tplc="93743FD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BC49E"/>
    <w:multiLevelType w:val="hybridMultilevel"/>
    <w:tmpl w:val="CBDA14E0"/>
    <w:lvl w:ilvl="0" w:tplc="123830A6">
      <w:numFmt w:val="none"/>
      <w:lvlText w:val=""/>
      <w:lvlJc w:val="left"/>
      <w:pPr>
        <w:tabs>
          <w:tab w:val="num" w:pos="360"/>
        </w:tabs>
      </w:pPr>
    </w:lvl>
    <w:lvl w:ilvl="1" w:tplc="A756406A">
      <w:numFmt w:val="decimal"/>
      <w:lvlText w:val=""/>
      <w:lvlJc w:val="left"/>
    </w:lvl>
    <w:lvl w:ilvl="2" w:tplc="AF062CE2">
      <w:numFmt w:val="decimal"/>
      <w:lvlText w:val=""/>
      <w:lvlJc w:val="left"/>
    </w:lvl>
    <w:lvl w:ilvl="3" w:tplc="443ADD96">
      <w:numFmt w:val="decimal"/>
      <w:lvlText w:val=""/>
      <w:lvlJc w:val="left"/>
    </w:lvl>
    <w:lvl w:ilvl="4" w:tplc="73A4EB48">
      <w:numFmt w:val="decimal"/>
      <w:lvlText w:val=""/>
      <w:lvlJc w:val="left"/>
    </w:lvl>
    <w:lvl w:ilvl="5" w:tplc="E1C629D0">
      <w:numFmt w:val="decimal"/>
      <w:lvlText w:val=""/>
      <w:lvlJc w:val="left"/>
    </w:lvl>
    <w:lvl w:ilvl="6" w:tplc="9E04876E">
      <w:numFmt w:val="decimal"/>
      <w:lvlText w:val=""/>
      <w:lvlJc w:val="left"/>
    </w:lvl>
    <w:lvl w:ilvl="7" w:tplc="03704D50">
      <w:numFmt w:val="decimal"/>
      <w:lvlText w:val=""/>
      <w:lvlJc w:val="left"/>
    </w:lvl>
    <w:lvl w:ilvl="8" w:tplc="6D365044">
      <w:numFmt w:val="decimal"/>
      <w:lvlText w:val=""/>
      <w:lvlJc w:val="left"/>
    </w:lvl>
  </w:abstractNum>
  <w:num w:numId="1" w16cid:durableId="1179078512">
    <w:abstractNumId w:val="4"/>
  </w:num>
  <w:num w:numId="2" w16cid:durableId="1521159493">
    <w:abstractNumId w:val="9"/>
  </w:num>
  <w:num w:numId="3" w16cid:durableId="1117479961">
    <w:abstractNumId w:val="17"/>
  </w:num>
  <w:num w:numId="4" w16cid:durableId="1526938449">
    <w:abstractNumId w:val="5"/>
  </w:num>
  <w:num w:numId="5" w16cid:durableId="346255249">
    <w:abstractNumId w:val="15"/>
  </w:num>
  <w:num w:numId="6" w16cid:durableId="409890781">
    <w:abstractNumId w:val="10"/>
  </w:num>
  <w:num w:numId="7" w16cid:durableId="1253127132">
    <w:abstractNumId w:val="3"/>
  </w:num>
  <w:num w:numId="8" w16cid:durableId="1597013421">
    <w:abstractNumId w:val="2"/>
  </w:num>
  <w:num w:numId="9" w16cid:durableId="714815755">
    <w:abstractNumId w:val="13"/>
  </w:num>
  <w:num w:numId="10" w16cid:durableId="621762791">
    <w:abstractNumId w:val="7"/>
  </w:num>
  <w:num w:numId="11" w16cid:durableId="1593779917">
    <w:abstractNumId w:val="6"/>
  </w:num>
  <w:num w:numId="12" w16cid:durableId="1191724102">
    <w:abstractNumId w:val="12"/>
  </w:num>
  <w:num w:numId="13" w16cid:durableId="1402485360">
    <w:abstractNumId w:val="0"/>
  </w:num>
  <w:num w:numId="14" w16cid:durableId="1477182025">
    <w:abstractNumId w:val="14"/>
  </w:num>
  <w:num w:numId="15" w16cid:durableId="1100567772">
    <w:abstractNumId w:val="8"/>
  </w:num>
  <w:num w:numId="16" w16cid:durableId="2144620340">
    <w:abstractNumId w:val="11"/>
  </w:num>
  <w:num w:numId="17" w16cid:durableId="886255939">
    <w:abstractNumId w:val="1"/>
  </w:num>
  <w:num w:numId="18" w16cid:durableId="6210329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0159"/>
    <w:rsid w:val="00020546"/>
    <w:rsid w:val="00021B34"/>
    <w:rsid w:val="00035DF5"/>
    <w:rsid w:val="00042DAB"/>
    <w:rsid w:val="00061B4D"/>
    <w:rsid w:val="00063B97"/>
    <w:rsid w:val="00074D15"/>
    <w:rsid w:val="0007548B"/>
    <w:rsid w:val="000A43ED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74952"/>
    <w:rsid w:val="00186CF6"/>
    <w:rsid w:val="00190C2B"/>
    <w:rsid w:val="001A4237"/>
    <w:rsid w:val="001B6451"/>
    <w:rsid w:val="001D7B47"/>
    <w:rsid w:val="001E2C64"/>
    <w:rsid w:val="001E56CB"/>
    <w:rsid w:val="001E58B8"/>
    <w:rsid w:val="001E6BFC"/>
    <w:rsid w:val="001E775B"/>
    <w:rsid w:val="001F47EA"/>
    <w:rsid w:val="00200953"/>
    <w:rsid w:val="00202024"/>
    <w:rsid w:val="00232DD5"/>
    <w:rsid w:val="002330DA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40111"/>
    <w:rsid w:val="004624F8"/>
    <w:rsid w:val="00462B6B"/>
    <w:rsid w:val="00466F1E"/>
    <w:rsid w:val="00470BB2"/>
    <w:rsid w:val="00476C8E"/>
    <w:rsid w:val="00480B35"/>
    <w:rsid w:val="004818F4"/>
    <w:rsid w:val="004830DC"/>
    <w:rsid w:val="00483E2B"/>
    <w:rsid w:val="004A066B"/>
    <w:rsid w:val="004B68C6"/>
    <w:rsid w:val="00501D62"/>
    <w:rsid w:val="00504DBE"/>
    <w:rsid w:val="00510485"/>
    <w:rsid w:val="00513806"/>
    <w:rsid w:val="005159BD"/>
    <w:rsid w:val="0052413A"/>
    <w:rsid w:val="0053745D"/>
    <w:rsid w:val="00547415"/>
    <w:rsid w:val="00554E76"/>
    <w:rsid w:val="00563512"/>
    <w:rsid w:val="00571B88"/>
    <w:rsid w:val="00571D4A"/>
    <w:rsid w:val="005730EA"/>
    <w:rsid w:val="00581D77"/>
    <w:rsid w:val="0058445B"/>
    <w:rsid w:val="005860A1"/>
    <w:rsid w:val="00587956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4E1E"/>
    <w:rsid w:val="00647B56"/>
    <w:rsid w:val="00650D08"/>
    <w:rsid w:val="006636AE"/>
    <w:rsid w:val="006824E8"/>
    <w:rsid w:val="00684DFB"/>
    <w:rsid w:val="00690D67"/>
    <w:rsid w:val="006C2E94"/>
    <w:rsid w:val="006E2090"/>
    <w:rsid w:val="00713A2D"/>
    <w:rsid w:val="00720A79"/>
    <w:rsid w:val="00720BAC"/>
    <w:rsid w:val="00721D23"/>
    <w:rsid w:val="0072613A"/>
    <w:rsid w:val="007346FF"/>
    <w:rsid w:val="00734FA6"/>
    <w:rsid w:val="007660B5"/>
    <w:rsid w:val="00772E54"/>
    <w:rsid w:val="00792382"/>
    <w:rsid w:val="00796C63"/>
    <w:rsid w:val="007A065B"/>
    <w:rsid w:val="007A7892"/>
    <w:rsid w:val="007A7903"/>
    <w:rsid w:val="007B51DE"/>
    <w:rsid w:val="007D1E9C"/>
    <w:rsid w:val="007E14EB"/>
    <w:rsid w:val="007F49A4"/>
    <w:rsid w:val="00802074"/>
    <w:rsid w:val="0081133F"/>
    <w:rsid w:val="00820CF2"/>
    <w:rsid w:val="00820F75"/>
    <w:rsid w:val="0083233B"/>
    <w:rsid w:val="0084076C"/>
    <w:rsid w:val="00856BD6"/>
    <w:rsid w:val="00873388"/>
    <w:rsid w:val="008812CE"/>
    <w:rsid w:val="008822AA"/>
    <w:rsid w:val="00887095"/>
    <w:rsid w:val="008906DB"/>
    <w:rsid w:val="00895DA1"/>
    <w:rsid w:val="008A3F4A"/>
    <w:rsid w:val="008C26D6"/>
    <w:rsid w:val="008C2F4D"/>
    <w:rsid w:val="008E760B"/>
    <w:rsid w:val="008F7E37"/>
    <w:rsid w:val="0090252E"/>
    <w:rsid w:val="009065D8"/>
    <w:rsid w:val="009214C9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6B81"/>
    <w:rsid w:val="009E3FAF"/>
    <w:rsid w:val="009E65D3"/>
    <w:rsid w:val="009F32C6"/>
    <w:rsid w:val="00A14174"/>
    <w:rsid w:val="00A17CC7"/>
    <w:rsid w:val="00A31119"/>
    <w:rsid w:val="00A341F8"/>
    <w:rsid w:val="00A453B6"/>
    <w:rsid w:val="00A51DAF"/>
    <w:rsid w:val="00A53D65"/>
    <w:rsid w:val="00A60CB4"/>
    <w:rsid w:val="00A62F3F"/>
    <w:rsid w:val="00A66B39"/>
    <w:rsid w:val="00A7220E"/>
    <w:rsid w:val="00A727FA"/>
    <w:rsid w:val="00A76C01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76660"/>
    <w:rsid w:val="00B86987"/>
    <w:rsid w:val="00BA6199"/>
    <w:rsid w:val="00BB6B9C"/>
    <w:rsid w:val="00BC2CA7"/>
    <w:rsid w:val="00BC530B"/>
    <w:rsid w:val="00BE51B1"/>
    <w:rsid w:val="00BE541B"/>
    <w:rsid w:val="00BF2C6A"/>
    <w:rsid w:val="00BF3C90"/>
    <w:rsid w:val="00C041A6"/>
    <w:rsid w:val="00C06EC6"/>
    <w:rsid w:val="00C070F7"/>
    <w:rsid w:val="00C104B2"/>
    <w:rsid w:val="00C14911"/>
    <w:rsid w:val="00C50A9C"/>
    <w:rsid w:val="00C52113"/>
    <w:rsid w:val="00C6565B"/>
    <w:rsid w:val="00C6709F"/>
    <w:rsid w:val="00C83A30"/>
    <w:rsid w:val="00C86A77"/>
    <w:rsid w:val="00C91404"/>
    <w:rsid w:val="00C92377"/>
    <w:rsid w:val="00C93809"/>
    <w:rsid w:val="00C97660"/>
    <w:rsid w:val="00CB194E"/>
    <w:rsid w:val="00CB3528"/>
    <w:rsid w:val="00CE51BE"/>
    <w:rsid w:val="00CF538A"/>
    <w:rsid w:val="00D0378F"/>
    <w:rsid w:val="00D06A6C"/>
    <w:rsid w:val="00D11B06"/>
    <w:rsid w:val="00D129C5"/>
    <w:rsid w:val="00D169B9"/>
    <w:rsid w:val="00D426BB"/>
    <w:rsid w:val="00D50C87"/>
    <w:rsid w:val="00D61D9F"/>
    <w:rsid w:val="00D85C18"/>
    <w:rsid w:val="00D9268E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B6BED"/>
    <w:rsid w:val="00ED70B9"/>
    <w:rsid w:val="00EE1D9A"/>
    <w:rsid w:val="00EE39C3"/>
    <w:rsid w:val="00F050F1"/>
    <w:rsid w:val="00F067B3"/>
    <w:rsid w:val="00F119BA"/>
    <w:rsid w:val="00F26727"/>
    <w:rsid w:val="00F31C23"/>
    <w:rsid w:val="00F32786"/>
    <w:rsid w:val="00F41E56"/>
    <w:rsid w:val="00F44CE9"/>
    <w:rsid w:val="00F63344"/>
    <w:rsid w:val="00F8252B"/>
    <w:rsid w:val="00F86E04"/>
    <w:rsid w:val="00FA0202"/>
    <w:rsid w:val="00FA2581"/>
    <w:rsid w:val="00FA2B5A"/>
    <w:rsid w:val="00FA7CCD"/>
    <w:rsid w:val="00FB68F9"/>
    <w:rsid w:val="00FC7363"/>
    <w:rsid w:val="00FD047A"/>
    <w:rsid w:val="00FE29A1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1CACA"/>
  <w15:chartTrackingRefBased/>
  <w15:docId w15:val="{44DCADFA-71BE-4C01-8A4A-6AE70D36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1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3528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customStyle="1" w:styleId="CM14">
    <w:name w:val="CM14"/>
    <w:basedOn w:val="Default"/>
    <w:next w:val="Default"/>
    <w:rsid w:val="00CB3528"/>
    <w:rPr>
      <w:rFonts w:cs="Times New Roman"/>
      <w:color w:val="auto"/>
    </w:rPr>
  </w:style>
  <w:style w:type="paragraph" w:styleId="Tytu">
    <w:name w:val="Title"/>
    <w:basedOn w:val="Normalny"/>
    <w:next w:val="Normalny"/>
    <w:link w:val="TytuZnak"/>
    <w:qFormat/>
    <w:rsid w:val="00921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21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921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2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5</cp:revision>
  <cp:lastPrinted>2015-09-14T12:03:00Z</cp:lastPrinted>
  <dcterms:created xsi:type="dcterms:W3CDTF">2024-01-19T12:56:00Z</dcterms:created>
  <dcterms:modified xsi:type="dcterms:W3CDTF">2024-01-19T13:14:00Z</dcterms:modified>
</cp:coreProperties>
</file>