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C929" w14:textId="77777777" w:rsidR="0058445B" w:rsidRDefault="0058445B" w:rsidP="0058445B">
      <w:r>
        <w:pict w14:anchorId="3FD03C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55.35pt;mso-position-horizontal:left" wrapcoords="4705 2919 428 4086 -214 4670 -214 14303 2352 16930 5560 17514 7057 17514 13473 16930 18392 14595 18606 12259 21386 8465 21600 5838 6202 2919 4705 2919" o:allowoverlap="f">
            <v:imagedata r:id="rId7" o:title=""/>
          </v:shape>
        </w:pict>
      </w:r>
    </w:p>
    <w:p w14:paraId="47AF138B" w14:textId="77777777" w:rsidR="0058445B" w:rsidRPr="00BB1079" w:rsidRDefault="0058445B" w:rsidP="0058445B">
      <w:pPr>
        <w:spacing w:before="120" w:after="120"/>
        <w:rPr>
          <w:rFonts w:ascii="Lato" w:hAnsi="Lato"/>
          <w:b/>
          <w:sz w:val="22"/>
          <w:szCs w:val="22"/>
        </w:rPr>
      </w:pPr>
      <w:r w:rsidRPr="00BB1079">
        <w:rPr>
          <w:rFonts w:ascii="Lato" w:hAnsi="Lato"/>
          <w:b/>
          <w:sz w:val="22"/>
          <w:szCs w:val="22"/>
        </w:rPr>
        <w:t>GUM - JN 1440</w:t>
      </w:r>
    </w:p>
    <w:p w14:paraId="228D99AF" w14:textId="77777777" w:rsidR="0058445B" w:rsidRDefault="0058445B" w:rsidP="0058445B">
      <w:pPr>
        <w:rPr>
          <w:rFonts w:ascii="Lato" w:hAnsi="Lato"/>
          <w:bCs/>
          <w:sz w:val="18"/>
          <w:szCs w:val="18"/>
        </w:rPr>
      </w:pPr>
      <w:r w:rsidRPr="00BB1079">
        <w:rPr>
          <w:rFonts w:ascii="Lato" w:hAnsi="Lato"/>
          <w:bCs/>
          <w:sz w:val="18"/>
          <w:szCs w:val="18"/>
        </w:rPr>
        <w:t>ul. Elektoralna 2, 00-139 Warszawa</w:t>
      </w:r>
    </w:p>
    <w:p w14:paraId="2D4D8E6A" w14:textId="77777777" w:rsidR="0058445B" w:rsidRPr="00BB1079" w:rsidRDefault="0058445B" w:rsidP="0058445B">
      <w:pPr>
        <w:rPr>
          <w:rFonts w:ascii="Lato" w:hAnsi="Lato"/>
          <w:bCs/>
          <w:sz w:val="18"/>
          <w:szCs w:val="18"/>
        </w:rPr>
      </w:pPr>
    </w:p>
    <w:p w14:paraId="135D490F" w14:textId="77777777" w:rsidR="0058445B" w:rsidRPr="0058445B" w:rsidRDefault="0058445B" w:rsidP="0058445B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WYTYCZNE GUM</w:t>
      </w:r>
    </w:p>
    <w:p w14:paraId="7CC88209" w14:textId="77777777" w:rsidR="0058445B" w:rsidRDefault="0058445B" w:rsidP="0058445B">
      <w:pPr>
        <w:jc w:val="center"/>
        <w:rPr>
          <w:rFonts w:ascii="Lato" w:hAnsi="Lato" w:cs="Arial"/>
          <w:b/>
          <w:sz w:val="40"/>
          <w:szCs w:val="40"/>
        </w:rPr>
      </w:pPr>
      <w:r w:rsidRPr="0058445B">
        <w:rPr>
          <w:rFonts w:ascii="Lato" w:hAnsi="Lato" w:cs="Arial"/>
          <w:b/>
          <w:sz w:val="40"/>
          <w:szCs w:val="40"/>
        </w:rPr>
        <w:t>JEDNOSTKI NOTYFIKOWANEJ 1440</w:t>
      </w:r>
    </w:p>
    <w:p w14:paraId="0B58BC0C" w14:textId="77777777" w:rsidR="00FE29A1" w:rsidRDefault="0058445B" w:rsidP="0058445B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dotyczące zawartości dokumentacji technicznej</w:t>
      </w:r>
    </w:p>
    <w:p w14:paraId="1560E67A" w14:textId="47D66A7D" w:rsidR="00EE39C3" w:rsidRDefault="0058445B" w:rsidP="00FE29A1">
      <w:pPr>
        <w:jc w:val="center"/>
        <w:rPr>
          <w:rFonts w:ascii="Lato" w:hAnsi="Lato" w:cs="Arial"/>
          <w:b/>
          <w:sz w:val="28"/>
          <w:szCs w:val="28"/>
        </w:rPr>
      </w:pPr>
      <w:r w:rsidRPr="0058445B">
        <w:rPr>
          <w:rFonts w:ascii="Lato" w:hAnsi="Lato" w:cs="Arial"/>
          <w:b/>
          <w:sz w:val="28"/>
          <w:szCs w:val="28"/>
        </w:rPr>
        <w:t>dla przeprowadzenia procedury oceny zgodności</w:t>
      </w:r>
      <w:r w:rsidR="00FE29A1">
        <w:rPr>
          <w:rFonts w:ascii="Lato" w:hAnsi="Lato" w:cs="Arial"/>
          <w:b/>
          <w:sz w:val="28"/>
          <w:szCs w:val="28"/>
        </w:rPr>
        <w:t xml:space="preserve"> </w:t>
      </w:r>
      <w:r w:rsidRPr="0058445B">
        <w:rPr>
          <w:rFonts w:ascii="Lato" w:hAnsi="Lato" w:cs="Arial"/>
          <w:b/>
          <w:sz w:val="28"/>
          <w:szCs w:val="28"/>
        </w:rPr>
        <w:t>wagi nieautomatycznej</w:t>
      </w:r>
    </w:p>
    <w:p w14:paraId="41768EE4" w14:textId="77777777" w:rsidR="00C6709F" w:rsidRDefault="00C6709F" w:rsidP="0058445B">
      <w:pPr>
        <w:jc w:val="center"/>
        <w:rPr>
          <w:rFonts w:ascii="Lato" w:hAnsi="Lato" w:cs="Arial"/>
          <w:b/>
          <w:sz w:val="28"/>
          <w:szCs w:val="28"/>
        </w:rPr>
      </w:pPr>
    </w:p>
    <w:p w14:paraId="7C549FFC" w14:textId="77777777" w:rsidR="00AB3188" w:rsidRPr="008C2F4D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8C2F4D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CB3528" w:rsidRPr="008C2F4D">
        <w:rPr>
          <w:rFonts w:ascii="Lato" w:hAnsi="Lato" w:cs="Arial"/>
          <w:spacing w:val="-6"/>
          <w:sz w:val="20"/>
          <w:szCs w:val="20"/>
        </w:rPr>
        <w:t>wagi nieautomatycznej</w:t>
      </w:r>
      <w:r w:rsidR="006E2090" w:rsidRPr="008C2F4D">
        <w:rPr>
          <w:rFonts w:ascii="Lato" w:hAnsi="Lato" w:cs="Arial"/>
          <w:i/>
          <w:sz w:val="20"/>
          <w:szCs w:val="20"/>
        </w:rPr>
        <w:t xml:space="preserve"> </w:t>
      </w:r>
      <w:r w:rsidR="00B525DF" w:rsidRPr="008C2F4D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8C2F4D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FA7CCD" w:rsidRPr="008C2F4D">
        <w:rPr>
          <w:rFonts w:ascii="Lato" w:hAnsi="Lato" w:cs="Arial"/>
          <w:bCs/>
          <w:sz w:val="20"/>
          <w:szCs w:val="20"/>
        </w:rPr>
        <w:t xml:space="preserve">Ministra Rozwoju </w:t>
      </w:r>
      <w:r w:rsidR="00FA7CCD" w:rsidRPr="008C2F4D">
        <w:rPr>
          <w:rFonts w:ascii="Lato" w:eastAsia="TimesNewRoman" w:hAnsi="Lato" w:cs="Arial"/>
          <w:sz w:val="20"/>
          <w:szCs w:val="20"/>
        </w:rPr>
        <w:t xml:space="preserve">z dnia 2 czerwca 2016 r. </w:t>
      </w:r>
      <w:r w:rsidR="00FA7CCD" w:rsidRPr="008C2F4D">
        <w:rPr>
          <w:rFonts w:ascii="Lato" w:hAnsi="Lato" w:cs="Arial"/>
          <w:bCs/>
          <w:sz w:val="20"/>
          <w:szCs w:val="20"/>
        </w:rPr>
        <w:t>w sprawie wymagań dla wag nieautomatycznych</w:t>
      </w:r>
      <w:r w:rsidRPr="008C2F4D">
        <w:rPr>
          <w:rFonts w:ascii="Lato" w:hAnsi="Lato" w:cs="Arial"/>
          <w:sz w:val="20"/>
          <w:szCs w:val="20"/>
        </w:rPr>
        <w:t xml:space="preserve">. </w:t>
      </w:r>
      <w:r w:rsidR="00B525DF" w:rsidRPr="008C2F4D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CB3528" w:rsidRPr="008C2F4D">
        <w:rPr>
          <w:rFonts w:ascii="Lato" w:hAnsi="Lato" w:cs="Arial"/>
          <w:spacing w:val="-6"/>
          <w:sz w:val="20"/>
          <w:szCs w:val="20"/>
        </w:rPr>
        <w:t>wagi nieautomatycznej</w:t>
      </w:r>
      <w:r w:rsidR="006E2090" w:rsidRPr="008C2F4D">
        <w:rPr>
          <w:rFonts w:ascii="Lato" w:hAnsi="Lato" w:cs="Arial"/>
          <w:i/>
          <w:sz w:val="20"/>
          <w:szCs w:val="20"/>
        </w:rPr>
        <w:t xml:space="preserve"> </w:t>
      </w:r>
      <w:r w:rsidR="00B525DF" w:rsidRPr="008C2F4D">
        <w:rPr>
          <w:rFonts w:ascii="Lato" w:hAnsi="Lato" w:cs="Arial"/>
          <w:sz w:val="20"/>
          <w:szCs w:val="20"/>
        </w:rPr>
        <w:t>w sposób zrozumiały i umożliwiający dokonanie oceny zgodności z wymaganiami określonymi w ww. rozporządzeniu.</w:t>
      </w:r>
    </w:p>
    <w:p w14:paraId="558A7A9C" w14:textId="77777777" w:rsidR="00AB3188" w:rsidRPr="008C2F4D" w:rsidRDefault="00AB3188" w:rsidP="00306F0B">
      <w:pPr>
        <w:jc w:val="both"/>
        <w:rPr>
          <w:rFonts w:ascii="Lato" w:hAnsi="Lato" w:cs="Arial"/>
          <w:sz w:val="20"/>
          <w:szCs w:val="20"/>
        </w:rPr>
      </w:pPr>
    </w:p>
    <w:p w14:paraId="3C8E9A73" w14:textId="77777777" w:rsidR="00306F0B" w:rsidRPr="008C2F4D" w:rsidRDefault="00306F0B" w:rsidP="00306F0B">
      <w:pPr>
        <w:jc w:val="both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>W szczególności powinna zawierać:</w:t>
      </w:r>
    </w:p>
    <w:p w14:paraId="45C7F735" w14:textId="77777777" w:rsidR="00306F0B" w:rsidRPr="008C2F4D" w:rsidRDefault="00306F0B" w:rsidP="00306F0B">
      <w:pPr>
        <w:jc w:val="both"/>
        <w:rPr>
          <w:rFonts w:ascii="Lato" w:hAnsi="Lato" w:cs="Arial"/>
          <w:sz w:val="20"/>
          <w:szCs w:val="20"/>
        </w:rPr>
      </w:pPr>
    </w:p>
    <w:p w14:paraId="23638665" w14:textId="1682B6F1" w:rsidR="00587956" w:rsidRPr="00FE29A1" w:rsidRDefault="00587956" w:rsidP="00A60CB4">
      <w:pPr>
        <w:numPr>
          <w:ilvl w:val="0"/>
          <w:numId w:val="1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FE29A1">
        <w:rPr>
          <w:rFonts w:ascii="Lato" w:hAnsi="Lato" w:cs="Arial"/>
          <w:b/>
          <w:sz w:val="20"/>
          <w:szCs w:val="20"/>
        </w:rPr>
        <w:t xml:space="preserve">OGÓLNY OPIS </w:t>
      </w:r>
      <w:r w:rsidR="00FE29A1" w:rsidRPr="00FE29A1">
        <w:rPr>
          <w:rFonts w:ascii="Lato" w:hAnsi="Lato" w:cs="Arial"/>
          <w:b/>
          <w:sz w:val="20"/>
          <w:szCs w:val="20"/>
        </w:rPr>
        <w:t>WAGI NIEAUTOMATYCZNEJ:</w:t>
      </w:r>
    </w:p>
    <w:p w14:paraId="3C2797E0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1. Realizowane funkcje i urządzenia dodatkowe. </w:t>
      </w:r>
    </w:p>
    <w:p w14:paraId="55FA3547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2. Budowę części mechanicznej, elektrycznej i pomiarowej. </w:t>
      </w:r>
    </w:p>
    <w:p w14:paraId="7ADADAE0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3. Działanie, z uwzględnieniem procedury adjustacji. </w:t>
      </w:r>
    </w:p>
    <w:p w14:paraId="390BCDC5" w14:textId="77777777" w:rsidR="00CB3528" w:rsidRPr="008C2F4D" w:rsidRDefault="00CB3528" w:rsidP="00CB3528">
      <w:pPr>
        <w:pStyle w:val="Default"/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4. Dane techniczne modułów wagi, podzespołów: </w:t>
      </w:r>
    </w:p>
    <w:p w14:paraId="14E1C4ED" w14:textId="77777777" w:rsidR="00CB3528" w:rsidRPr="008C2F4D" w:rsidRDefault="00CB3528" w:rsidP="00A76C01">
      <w:pPr>
        <w:pStyle w:val="Default"/>
        <w:numPr>
          <w:ilvl w:val="2"/>
          <w:numId w:val="2"/>
        </w:numPr>
        <w:ind w:left="720" w:hanging="18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przetworniki pomiarowe (typy, parametry itp.), </w:t>
      </w:r>
    </w:p>
    <w:p w14:paraId="344C8114" w14:textId="77777777" w:rsidR="00CB3528" w:rsidRPr="008C2F4D" w:rsidRDefault="00CB3528" w:rsidP="00A76C01">
      <w:pPr>
        <w:pStyle w:val="Default"/>
        <w:numPr>
          <w:ilvl w:val="2"/>
          <w:numId w:val="2"/>
        </w:numPr>
        <w:ind w:left="720" w:hanging="18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system mechaniczny, </w:t>
      </w:r>
    </w:p>
    <w:p w14:paraId="7600B2F4" w14:textId="77777777" w:rsidR="00CB3528" w:rsidRPr="008C2F4D" w:rsidRDefault="00CB3528" w:rsidP="00A76C01">
      <w:pPr>
        <w:pStyle w:val="Default"/>
        <w:numPr>
          <w:ilvl w:val="2"/>
          <w:numId w:val="2"/>
        </w:numPr>
        <w:ind w:left="720" w:hanging="18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miernik (typy, specyfikacja techniczna), </w:t>
      </w:r>
    </w:p>
    <w:p w14:paraId="13DE40EA" w14:textId="36B790DD" w:rsidR="00CB3528" w:rsidRPr="008C2F4D" w:rsidRDefault="00CB3528" w:rsidP="00A76C01">
      <w:pPr>
        <w:pStyle w:val="Default"/>
        <w:numPr>
          <w:ilvl w:val="2"/>
          <w:numId w:val="2"/>
        </w:numPr>
        <w:ind w:left="720" w:hanging="18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wyświetlacz; podając funkcje każdego modułu i jego ułamek pi błędów granicznych dopuszczalnych</w:t>
      </w:r>
      <w:r w:rsidR="00FE29A1">
        <w:rPr>
          <w:rFonts w:ascii="Lato" w:hAnsi="Lato"/>
          <w:sz w:val="20"/>
          <w:szCs w:val="20"/>
        </w:rPr>
        <w:t>.</w:t>
      </w:r>
    </w:p>
    <w:p w14:paraId="506D17AA" w14:textId="386C6C2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5. Interfejsy, urządzenia wskazujące i peryferyjne</w:t>
      </w:r>
      <w:r w:rsidR="00FE29A1">
        <w:rPr>
          <w:rFonts w:ascii="Lato" w:hAnsi="Lato"/>
          <w:sz w:val="20"/>
          <w:szCs w:val="20"/>
        </w:rPr>
        <w:t>.</w:t>
      </w:r>
    </w:p>
    <w:p w14:paraId="0431B99E" w14:textId="738F8A28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6. Wytyczne </w:t>
      </w:r>
      <w:r w:rsidR="00FE29A1">
        <w:rPr>
          <w:rFonts w:ascii="Lato" w:hAnsi="Lato"/>
          <w:sz w:val="20"/>
          <w:szCs w:val="20"/>
        </w:rPr>
        <w:t>dotyczące</w:t>
      </w:r>
      <w:r w:rsidRPr="008C2F4D">
        <w:rPr>
          <w:rFonts w:ascii="Lato" w:hAnsi="Lato"/>
          <w:sz w:val="20"/>
          <w:szCs w:val="20"/>
        </w:rPr>
        <w:t xml:space="preserve"> instalacji, jeśli istnieją. </w:t>
      </w:r>
    </w:p>
    <w:p w14:paraId="02AA823F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7. Zakres stosowalności / szczegółowy zakres eksploatacji. </w:t>
      </w:r>
    </w:p>
    <w:p w14:paraId="625365EE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8. Informacje dotyczące oznaczeń, sposobów zabezpieczeń istotnych elementów; miejsce nałożenia cech legalizacji. </w:t>
      </w:r>
    </w:p>
    <w:p w14:paraId="347A3A66" w14:textId="77777777" w:rsidR="00EE39C3" w:rsidRPr="008C2F4D" w:rsidRDefault="00EE39C3" w:rsidP="00EE39C3">
      <w:pPr>
        <w:jc w:val="both"/>
        <w:rPr>
          <w:rFonts w:ascii="Lato" w:hAnsi="Lato" w:cs="Arial"/>
          <w:sz w:val="20"/>
          <w:szCs w:val="20"/>
        </w:rPr>
      </w:pPr>
    </w:p>
    <w:p w14:paraId="501F2ADA" w14:textId="6DC8B913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  <w:r w:rsidRPr="008C2F4D">
        <w:rPr>
          <w:rFonts w:ascii="Lato" w:hAnsi="Lato"/>
          <w:b/>
          <w:sz w:val="20"/>
          <w:szCs w:val="20"/>
        </w:rPr>
        <w:t xml:space="preserve">II. </w:t>
      </w:r>
      <w:r w:rsidR="00587956" w:rsidRPr="008C2F4D">
        <w:rPr>
          <w:rFonts w:ascii="Lato" w:hAnsi="Lato"/>
          <w:b/>
          <w:sz w:val="20"/>
          <w:szCs w:val="20"/>
        </w:rPr>
        <w:t>DOKUMENTACJĘ KONSTRUKCYJNĄ I WYKONAWCZĄ</w:t>
      </w:r>
      <w:r w:rsidR="00FE29A1">
        <w:rPr>
          <w:rFonts w:ascii="Lato" w:hAnsi="Lato"/>
          <w:b/>
          <w:sz w:val="20"/>
          <w:szCs w:val="20"/>
        </w:rPr>
        <w:t>:</w:t>
      </w:r>
      <w:r w:rsidRPr="008C2F4D">
        <w:rPr>
          <w:rFonts w:ascii="Lato" w:hAnsi="Lato"/>
          <w:sz w:val="20"/>
          <w:szCs w:val="20"/>
        </w:rPr>
        <w:t xml:space="preserve"> </w:t>
      </w:r>
    </w:p>
    <w:p w14:paraId="56BBD831" w14:textId="4D5306EC" w:rsidR="00CB3528" w:rsidRPr="008C2F4D" w:rsidRDefault="00CB3528" w:rsidP="00CB3528">
      <w:pPr>
        <w:autoSpaceDE w:val="0"/>
        <w:autoSpaceDN w:val="0"/>
        <w:adjustRightInd w:val="0"/>
        <w:spacing w:after="57" w:line="233" w:lineRule="atLeast"/>
        <w:ind w:left="395" w:hanging="395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Numeracja w nawiasach </w:t>
      </w:r>
      <w:proofErr w:type="gramStart"/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/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....</w:t>
      </w:r>
      <w:proofErr w:type="gramEnd"/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/ oznacza punkt normy zharmonizowanej PN-EN 45501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F61B852" w14:textId="77777777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360" w:hanging="360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1. Szczegółowy opis typu z wyjaśnieniami koniecznymi do zrozumienia działania przyrządu w formie schematów koncepcyjnych, rysunków wykonawczych oraz wyników obliczeń konstrukcyjnych. </w:t>
      </w:r>
    </w:p>
    <w:p w14:paraId="62E930E6" w14:textId="77777777" w:rsidR="00A76C01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360" w:hanging="361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1.1. Przewidywany zakres stosowania, rodzaj przyrządu (np. waga pomostowa ze skalą dodatnią i ujemną, waga etykietująca).</w:t>
      </w:r>
    </w:p>
    <w:p w14:paraId="2705E55C" w14:textId="77777777" w:rsidR="00CB3528" w:rsidRPr="008C2F4D" w:rsidRDefault="00A76C01" w:rsidP="00A76C01">
      <w:pPr>
        <w:autoSpaceDE w:val="0"/>
        <w:autoSpaceDN w:val="0"/>
        <w:adjustRightInd w:val="0"/>
        <w:spacing w:after="57" w:line="233" w:lineRule="atLeast"/>
        <w:ind w:left="360" w:hanging="361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1.2. </w:t>
      </w:r>
      <w:r w:rsidR="00CB3528"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Ogólna charakterystyka (producent; klasa dokładności; </w:t>
      </w:r>
      <w:r w:rsidR="00CB3528" w:rsidRPr="008C2F4D">
        <w:rPr>
          <w:rFonts w:ascii="Lato" w:eastAsia="Batang" w:hAnsi="Lato" w:cs="Arial"/>
          <w:i/>
          <w:iCs/>
          <w:color w:val="000000"/>
          <w:sz w:val="20"/>
          <w:szCs w:val="20"/>
          <w:lang w:eastAsia="ko-KR"/>
        </w:rPr>
        <w:t>Max, Min</w:t>
      </w:r>
      <w:r w:rsidR="00CB3528"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, </w:t>
      </w:r>
      <w:r w:rsidR="00CB3528" w:rsidRPr="008C2F4D">
        <w:rPr>
          <w:rFonts w:ascii="Lato" w:eastAsia="Batang" w:hAnsi="Lato" w:cs="Arial"/>
          <w:i/>
          <w:iCs/>
          <w:color w:val="000000"/>
          <w:sz w:val="20"/>
          <w:szCs w:val="20"/>
          <w:lang w:eastAsia="ko-KR"/>
        </w:rPr>
        <w:t>e, n</w:t>
      </w:r>
      <w:r w:rsidR="00CB3528"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; jedno-/ wielodziałkowa, wielozakresowa; zakres temperatur pracy, napięcie zasilające, ...) /pkt 7.1/. </w:t>
      </w:r>
    </w:p>
    <w:p w14:paraId="283CD34A" w14:textId="77777777" w:rsidR="00CB3528" w:rsidRPr="008C2F4D" w:rsidRDefault="00CB3528" w:rsidP="00A76C01">
      <w:p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2. Opis i schematy części składowych, podzespołów, układów wagi. </w:t>
      </w:r>
    </w:p>
    <w:p w14:paraId="408281B1" w14:textId="1FA247C0" w:rsidR="00CB3528" w:rsidRPr="008C2F4D" w:rsidRDefault="00CB3528" w:rsidP="00CB3528">
      <w:pPr>
        <w:autoSpaceDE w:val="0"/>
        <w:autoSpaceDN w:val="0"/>
        <w:adjustRightInd w:val="0"/>
        <w:spacing w:after="57" w:line="233" w:lineRule="atLeast"/>
        <w:ind w:left="567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2.1. Sposoby zabezpieczenia podzespołów, elementów regulacyjnych, itd. /pkt 4.1.2/ Miejsce umieszczenia oznakowania CE oraz związanych z nim cech /pkt 7.2/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9B64BE6" w14:textId="2FA74653" w:rsidR="00CB3528" w:rsidRPr="008C2F4D" w:rsidRDefault="00CB3528" w:rsidP="00CB3528">
      <w:pPr>
        <w:autoSpaceDE w:val="0"/>
        <w:autoSpaceDN w:val="0"/>
        <w:adjustRightInd w:val="0"/>
        <w:spacing w:after="57" w:line="233" w:lineRule="atLeast"/>
        <w:ind w:left="567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2.2. Urządzenia do adiustacji /pkt 4.1.2.5/. Deklaracja producenta, że nie ma innej możliwości wejścia w tryb adiustacji oprócz wymienionych. W przypadku wag elektronicznych, gdy możliwe jest wejście w ten tryb programowo poprzez interfejsy (np. z klawiatury), zastosowanie w wadze </w:t>
      </w:r>
      <w:proofErr w:type="spellStart"/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inkrementowalnego</w:t>
      </w:r>
      <w:proofErr w:type="spellEnd"/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proofErr w:type="spellStart"/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nieresetowalnego</w:t>
      </w:r>
      <w:proofErr w:type="spellEnd"/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licznika liczby adiustacyjnej. </w:t>
      </w:r>
    </w:p>
    <w:p w14:paraId="118AA647" w14:textId="5681855A" w:rsidR="00CB3528" w:rsidRPr="008C2F4D" w:rsidRDefault="00CB3528" w:rsidP="00CB3528">
      <w:pPr>
        <w:autoSpaceDE w:val="0"/>
        <w:autoSpaceDN w:val="0"/>
        <w:adjustRightInd w:val="0"/>
        <w:spacing w:after="57" w:line="233" w:lineRule="atLeast"/>
        <w:ind w:left="567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2.3. Pomocnicze urządzenia wskazujące lub urządzenia wskazujące z większą rozdzielczością /pkt. 3.4, 4.4.3, 4.13.7/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F199E9A" w14:textId="77777777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2.4. Różne stosowanie urządzeń wskazujących /pkt 4.4.4/. </w:t>
      </w:r>
    </w:p>
    <w:p w14:paraId="64E6453F" w14:textId="222DE662" w:rsidR="00CB3528" w:rsidRPr="008C2F4D" w:rsidRDefault="00CB3528" w:rsidP="00CB3528">
      <w:pPr>
        <w:autoSpaceDE w:val="0"/>
        <w:autoSpaceDN w:val="0"/>
        <w:adjustRightInd w:val="0"/>
        <w:spacing w:after="57" w:line="233" w:lineRule="atLeast"/>
        <w:ind w:left="567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2.5. Urządzenia drukujące /4.4.5/, drukowanie wyników ważenia /pkt 4.6.11, 4.7.3/ oraz inne wartości /pkt 4.14.4, 4.16/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0FB70C7" w14:textId="5AFED63C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lastRenderedPageBreak/>
        <w:t>2.6. Urządzenie pamięci danych /pkt 4.4.6/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9227BE6" w14:textId="7020BF3D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2.7. Urządzenia zerujące, podtrzymujące zero /pkt 4.5, 4.6.9, 4.13.2/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3AF81F44" w14:textId="7011F0BE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2.8. Urządzenia tarujące /pkt 4.6, 4.10, 4.13.3/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5BD43F28" w14:textId="690F39AE" w:rsidR="00CB3528" w:rsidRPr="008C2F4D" w:rsidRDefault="00CB3528" w:rsidP="00A76C01">
      <w:pPr>
        <w:autoSpaceDE w:val="0"/>
        <w:autoSpaceDN w:val="0"/>
        <w:adjustRightInd w:val="0"/>
        <w:spacing w:after="57" w:line="233" w:lineRule="atLeast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2.9. Urządzenia zadające tarę /pkt 4.7, 4.13.4/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887B7FF" w14:textId="047FEF53" w:rsidR="00B76660" w:rsidRDefault="00CB3528" w:rsidP="00B76660">
      <w:pPr>
        <w:autoSpaceDE w:val="0"/>
        <w:autoSpaceDN w:val="0"/>
        <w:adjustRightInd w:val="0"/>
        <w:spacing w:after="57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2.10. Urządzenia blokujące /pkt 4.8, 4.13.5/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9AAA302" w14:textId="7AB797A8" w:rsidR="00CB3528" w:rsidRPr="008C2F4D" w:rsidRDefault="00CB3528" w:rsidP="00B76660">
      <w:pPr>
        <w:autoSpaceDE w:val="0"/>
        <w:autoSpaceDN w:val="0"/>
        <w:adjustRightInd w:val="0"/>
        <w:spacing w:after="57"/>
        <w:ind w:left="540" w:hanging="568"/>
        <w:jc w:val="both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2.11. Urządzenie poziomujące i wskaźnik poziomu, maksymalne pochylenie /pkt 3.9.1/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723C3075" w14:textId="3184A90F" w:rsidR="00CB3528" w:rsidRPr="008C2F4D" w:rsidRDefault="00CB3528" w:rsidP="00CB3528">
      <w:pPr>
        <w:autoSpaceDE w:val="0"/>
        <w:autoSpaceDN w:val="0"/>
        <w:adjustRightInd w:val="0"/>
        <w:spacing w:after="57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2.12. Pomocnicze urządzenie legalizacyjne /pkt 4.9/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A1BE335" w14:textId="1706A53F" w:rsidR="00CB3528" w:rsidRPr="008C2F4D" w:rsidRDefault="00CB3528" w:rsidP="00CB3528">
      <w:pPr>
        <w:autoSpaceDE w:val="0"/>
        <w:autoSpaceDN w:val="0"/>
        <w:adjustRightInd w:val="0"/>
        <w:spacing w:after="57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2.13. Wybór zakresów ważenia (w wadze wielozakresowej) /pkt 4.10/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AE80E8A" w14:textId="53FC11A5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2.14. Urządzenia wybierające (lub przełączające) między różnymi nośniami ładunku – urządzeniami przekazującymi i różnymi urządzeniami pomiarowymi /pkt 4.11/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382BD5D" w14:textId="735E5DA1" w:rsidR="00480B35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282" w:hanging="283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2.15. Działanie wag kalkulacyjnych (np. w bezpośrednim obrocie handlowym) /pkt 4.14/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:</w:t>
      </w:r>
    </w:p>
    <w:p w14:paraId="29A79518" w14:textId="7F1CD823" w:rsidR="00480B35" w:rsidRPr="008C2F4D" w:rsidRDefault="00CB3528" w:rsidP="00480B35">
      <w:pPr>
        <w:autoSpaceDE w:val="0"/>
        <w:autoSpaceDN w:val="0"/>
        <w:adjustRightInd w:val="0"/>
        <w:spacing w:after="57" w:line="231" w:lineRule="atLeast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specjalne zastosowania /pkt 4.14.4/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1D0F7A4F" w14:textId="109CA7B6" w:rsidR="00480B35" w:rsidRPr="008C2F4D" w:rsidRDefault="00CB3528" w:rsidP="00480B35">
      <w:pPr>
        <w:autoSpaceDE w:val="0"/>
        <w:autoSpaceDN w:val="0"/>
        <w:adjustRightInd w:val="0"/>
        <w:spacing w:after="57" w:line="231" w:lineRule="atLeast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zastosowanie samoobsługowe /pkt 4.13.11/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75D3F233" w14:textId="64DAA14B" w:rsidR="00CB3528" w:rsidRPr="008C2F4D" w:rsidRDefault="00CB3528" w:rsidP="00480B35">
      <w:pPr>
        <w:autoSpaceDE w:val="0"/>
        <w:autoSpaceDN w:val="0"/>
        <w:adjustRightInd w:val="0"/>
        <w:spacing w:after="57" w:line="231" w:lineRule="atLeast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etykietowanie cen /pkt 4.16/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5EFF95FF" w14:textId="326AB295" w:rsidR="00480B35" w:rsidRPr="008C2F4D" w:rsidRDefault="00480B35" w:rsidP="00CB3528">
      <w:pPr>
        <w:autoSpaceDE w:val="0"/>
        <w:autoSpaceDN w:val="0"/>
        <w:adjustRightInd w:val="0"/>
        <w:spacing w:after="57" w:line="231" w:lineRule="atLeast"/>
        <w:ind w:left="282" w:hanging="283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2.16. Interfejsy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:</w:t>
      </w:r>
    </w:p>
    <w:p w14:paraId="0E2A4110" w14:textId="264F944C" w:rsidR="00480B35" w:rsidRPr="008C2F4D" w:rsidRDefault="00CB3528" w:rsidP="00480B35">
      <w:pPr>
        <w:autoSpaceDE w:val="0"/>
        <w:autoSpaceDN w:val="0"/>
        <w:adjustRightInd w:val="0"/>
        <w:spacing w:after="57" w:line="231" w:lineRule="atLeast"/>
        <w:ind w:left="282" w:firstLine="25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t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yp(y), przeznaczenie, deklaracje odpor</w:t>
      </w:r>
      <w:r w:rsidR="00480B35"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ności na zakłócenia /pkt 5.3.6/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,</w:t>
      </w:r>
    </w:p>
    <w:p w14:paraId="060ECC19" w14:textId="474D08EA" w:rsidR="00CB3528" w:rsidRPr="008C2F4D" w:rsidRDefault="00CB3528" w:rsidP="00480B35">
      <w:pPr>
        <w:autoSpaceDE w:val="0"/>
        <w:autoSpaceDN w:val="0"/>
        <w:adjustRightInd w:val="0"/>
        <w:spacing w:after="57" w:line="231" w:lineRule="atLeast"/>
        <w:ind w:left="282" w:firstLine="25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urządzenia peryferyjne do podłączenia w ramach badania właściwości przy zakłóceniach /pkt 5.4.2/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00B880ED" w14:textId="77777777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2.17. Urządzenia peryferyjne, np. drukarki, zdalne wyświetlacze, objęte certyfikatem badania typu UE. </w:t>
      </w:r>
    </w:p>
    <w:p w14:paraId="4136AD29" w14:textId="69F9C8E8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2.18. Inne urządzenia lub funkcje, np. do celów innych niż do określenia masy (nie poddane ocenie zgodności)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99DC60D" w14:textId="77777777" w:rsidR="00CB3528" w:rsidRPr="008C2F4D" w:rsidRDefault="00CB3528" w:rsidP="00FE29A1">
      <w:pPr>
        <w:numPr>
          <w:ilvl w:val="1"/>
          <w:numId w:val="4"/>
        </w:numPr>
        <w:tabs>
          <w:tab w:val="clear" w:pos="435"/>
        </w:tabs>
        <w:autoSpaceDE w:val="0"/>
        <w:autoSpaceDN w:val="0"/>
        <w:adjustRightInd w:val="0"/>
        <w:spacing w:after="30"/>
        <w:ind w:left="567" w:hanging="567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Dodatkowe wymagania dla wag posiadających oprogramowanie /pkt 5.5/. </w:t>
      </w:r>
    </w:p>
    <w:p w14:paraId="64C3C2F4" w14:textId="77777777" w:rsidR="00CB3528" w:rsidRPr="008C2F4D" w:rsidRDefault="00CB3528" w:rsidP="00480B35">
      <w:pPr>
        <w:numPr>
          <w:ilvl w:val="0"/>
          <w:numId w:val="4"/>
        </w:numPr>
        <w:autoSpaceDE w:val="0"/>
        <w:autoSpaceDN w:val="0"/>
        <w:adjustRightInd w:val="0"/>
        <w:spacing w:before="12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Informacje na temat przypadków szczególnych. </w:t>
      </w:r>
    </w:p>
    <w:p w14:paraId="451AE980" w14:textId="05DDBBFB" w:rsidR="00CB3528" w:rsidRPr="008C2F4D" w:rsidRDefault="00CB3528" w:rsidP="00480B35">
      <w:pPr>
        <w:autoSpaceDE w:val="0"/>
        <w:autoSpaceDN w:val="0"/>
        <w:adjustRightInd w:val="0"/>
        <w:spacing w:before="120" w:after="57" w:line="231" w:lineRule="atLeast"/>
        <w:ind w:left="360" w:hanging="361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3.1. Podział przyrządu na moduły 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np. przetworniki pomiarowe, układ mechaniczny, miernik, wyświetlacz z przedstawieniem działania każdego modułu oraz ułamka pi błędów granicznych dopuszczalnych. W przypadku modułów, które zostały już zatwierdzone, podanie świadectw ekspertyzy (certyfikatów badań, certyfikatów oceny, certyfikatów części) lub certyfikatów badania typu UE /pkt 3.10.2/. W przypadku przetworników pomiarowych, odniesienie do obliczeń zgodnych z dokumentem OIML R60 /pkt F.2/, patrz także punkt 8. </w:t>
      </w:r>
    </w:p>
    <w:p w14:paraId="347CABB1" w14:textId="48291FEB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3.2. Szczególne warunki działania /pkt 3.9.5/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2DD37720" w14:textId="44823EAD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3.3. Reakcja wagi na odchylenia znaczące /pkt 5.1.1, 5.2, 4.13.9/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248DC797" w14:textId="6CCF5770" w:rsidR="00CB3528" w:rsidRPr="008C2F4D" w:rsidRDefault="00CB3528" w:rsidP="00CB3528">
      <w:pPr>
        <w:autoSpaceDE w:val="0"/>
        <w:autoSpaceDN w:val="0"/>
        <w:adjustRightInd w:val="0"/>
        <w:spacing w:after="57" w:line="231" w:lineRule="atLeast"/>
        <w:ind w:left="567" w:hanging="568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3.4. Działanie wyświetlacza po włączeniu /pkt 5.3.1/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>.</w:t>
      </w:r>
    </w:p>
    <w:p w14:paraId="6E2EB1D6" w14:textId="695A435E" w:rsidR="00CB3528" w:rsidRPr="008C2F4D" w:rsidRDefault="00CB3528" w:rsidP="00CB3528">
      <w:p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3.5. Inne szczególne informacje.</w:t>
      </w:r>
    </w:p>
    <w:p w14:paraId="1069519C" w14:textId="77777777" w:rsidR="00480B35" w:rsidRPr="008C2F4D" w:rsidRDefault="00CB3528" w:rsidP="00480B35">
      <w:pPr>
        <w:autoSpaceDE w:val="0"/>
        <w:autoSpaceDN w:val="0"/>
        <w:adjustRightInd w:val="0"/>
        <w:spacing w:after="3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4. Schematy ideowe, rysunki i schematy składników, podzespołów, układów elektrycznych itp., w szczególności:</w:t>
      </w:r>
    </w:p>
    <w:p w14:paraId="336C92AF" w14:textId="46D76BB4" w:rsidR="00CB3528" w:rsidRPr="008C2F4D" w:rsidRDefault="00CB3528" w:rsidP="00480B35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nośna ładunku,</w:t>
      </w:r>
    </w:p>
    <w:p w14:paraId="67440236" w14:textId="514BAA36" w:rsidR="00CB3528" w:rsidRPr="008C2F4D" w:rsidRDefault="00CB3528" w:rsidP="00480B35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układ dźwigniowy i materiał, z którego są wykonane dźwignie, jeżeli nie zostały zaprojektowane zgodnie z /pkt 6.3.2 -6.3.4/,</w:t>
      </w:r>
    </w:p>
    <w:p w14:paraId="3715CC20" w14:textId="5ECDC0F1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elementy przenoszące obciążenie na przetworniki pomiarowe,</w:t>
      </w:r>
    </w:p>
    <w:p w14:paraId="5A44C0CA" w14:textId="166FC9E6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elementy łączące elektryczne, np. przewody łączące przetworniki z miernikiem,</w:t>
      </w:r>
    </w:p>
    <w:p w14:paraId="1AA4E512" w14:textId="59A1490E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przetworniki, jeżeli nie zostały podane jako moduły w punkcie 3.1,</w:t>
      </w:r>
    </w:p>
    <w:p w14:paraId="42F4954B" w14:textId="1B7C8963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miernik: schemat blokowy,</w:t>
      </w:r>
    </w:p>
    <w:p w14:paraId="3C10291A" w14:textId="13AF52A4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schemat obwodu elektrycznego,</w:t>
      </w:r>
    </w:p>
    <w:p w14:paraId="53058F87" w14:textId="48020F7B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klawiatura z opisem funkcji przypisanych do każdego przycisku,</w:t>
      </w:r>
    </w:p>
    <w:p w14:paraId="17601A04" w14:textId="1218BA7A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rysunek płyty głównej /pkt 7.1/,</w:t>
      </w:r>
    </w:p>
    <w:p w14:paraId="5CD2DB7A" w14:textId="59B69729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>-</w:t>
      </w:r>
      <w:r w:rsidR="00FE29A1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 </w:t>
      </w: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próbki wszystkich przewidywanych wydruków, patrz także pkt. 2.5, </w:t>
      </w:r>
    </w:p>
    <w:p w14:paraId="203AB0DD" w14:textId="77777777" w:rsidR="00CB3528" w:rsidRPr="008C2F4D" w:rsidRDefault="00CB3528" w:rsidP="007A065B">
      <w:pPr>
        <w:autoSpaceDE w:val="0"/>
        <w:autoSpaceDN w:val="0"/>
        <w:adjustRightInd w:val="0"/>
        <w:spacing w:after="30"/>
        <w:ind w:left="54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- przedstawienie przyrządu (rysunek lub zdjęcie), ze wskazaniem miejsc, w których powinny być umieszczone cechy legalizacji i zabezpieczające. </w:t>
      </w:r>
    </w:p>
    <w:p w14:paraId="069FC416" w14:textId="77777777" w:rsidR="00CB3528" w:rsidRPr="008C2F4D" w:rsidRDefault="00CB3528" w:rsidP="00CB3528">
      <w:pPr>
        <w:autoSpaceDE w:val="0"/>
        <w:autoSpaceDN w:val="0"/>
        <w:adjustRightInd w:val="0"/>
        <w:spacing w:after="3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5. Oświadczenia pełnego zastosowania normy zharmonizowanej PN-EN 45501. W przypadku odstępstw, powinno się odnieść do punktów załącznika I dyrektywy oraz normy PN-EN 45501, jak i do odpowiednich podpunktów w zakresie punktów 2. i 3. tego rozdziału. </w:t>
      </w:r>
    </w:p>
    <w:p w14:paraId="3A324381" w14:textId="77777777" w:rsidR="00CB3528" w:rsidRPr="008C2F4D" w:rsidRDefault="00CB3528" w:rsidP="00CB3528">
      <w:pPr>
        <w:autoSpaceDE w:val="0"/>
        <w:autoSpaceDN w:val="0"/>
        <w:adjustRightInd w:val="0"/>
        <w:spacing w:after="3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Gdy norma zharmonizowana nie jest stosowana opis rozwiązań przyjętych w celu spełnienia wymagań zasadniczych rozporządzenia. </w:t>
      </w:r>
    </w:p>
    <w:p w14:paraId="35547897" w14:textId="77777777" w:rsidR="00CB3528" w:rsidRPr="008C2F4D" w:rsidRDefault="00CB3528" w:rsidP="00CB3528">
      <w:pPr>
        <w:autoSpaceDE w:val="0"/>
        <w:autoSpaceDN w:val="0"/>
        <w:adjustRightInd w:val="0"/>
        <w:spacing w:after="27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6. Wyniki badań wykonanych przez producenta, na formularzu podanym w zaleceniach OIML R 76-2, wraz z potwierdzeniem kompetencji. </w:t>
      </w:r>
    </w:p>
    <w:p w14:paraId="04A312B3" w14:textId="77777777" w:rsidR="00CB3528" w:rsidRPr="008C2F4D" w:rsidRDefault="00CB3528" w:rsidP="00CB3528">
      <w:pPr>
        <w:autoSpaceDE w:val="0"/>
        <w:autoSpaceDN w:val="0"/>
        <w:adjustRightInd w:val="0"/>
        <w:spacing w:after="27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7. Protokóły badań z innych laboratoriów, zgodnie z punktem 6. </w:t>
      </w:r>
    </w:p>
    <w:p w14:paraId="7F110855" w14:textId="77777777" w:rsidR="00CB3528" w:rsidRPr="008C2F4D" w:rsidRDefault="00CB3528" w:rsidP="00CB3528">
      <w:pPr>
        <w:autoSpaceDE w:val="0"/>
        <w:autoSpaceDN w:val="0"/>
        <w:adjustRightInd w:val="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8C2F4D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8. Certyfikaty innych badań typu UE bądź oddzielne badania dotyczące modułów lub innych części wymienionych w dokumentacji, łącznie z protokółami badań, kiedy jest to możliwe. -patrz także punkt 3.1. </w:t>
      </w:r>
    </w:p>
    <w:p w14:paraId="4B79A4A2" w14:textId="77777777" w:rsidR="009E3FAF" w:rsidRPr="008C2F4D" w:rsidRDefault="009E3FAF" w:rsidP="00CB3528">
      <w:pPr>
        <w:tabs>
          <w:tab w:val="num" w:pos="1440"/>
        </w:tabs>
        <w:jc w:val="both"/>
        <w:rPr>
          <w:rFonts w:ascii="Lato" w:hAnsi="Lato" w:cs="Arial"/>
          <w:sz w:val="20"/>
          <w:szCs w:val="20"/>
        </w:rPr>
      </w:pPr>
    </w:p>
    <w:p w14:paraId="14ADA928" w14:textId="4CD1EC9D" w:rsidR="00306F0B" w:rsidRPr="008C2F4D" w:rsidRDefault="00A17CC7" w:rsidP="00A60CB4">
      <w:pPr>
        <w:numPr>
          <w:ilvl w:val="0"/>
          <w:numId w:val="1"/>
        </w:numPr>
        <w:tabs>
          <w:tab w:val="clear" w:pos="397"/>
        </w:tabs>
        <w:jc w:val="both"/>
        <w:rPr>
          <w:rFonts w:ascii="Lato" w:hAnsi="Lato" w:cs="Arial"/>
          <w:b/>
          <w:sz w:val="20"/>
          <w:szCs w:val="20"/>
        </w:rPr>
      </w:pPr>
      <w:r w:rsidRPr="008C2F4D">
        <w:rPr>
          <w:rFonts w:ascii="Lato" w:hAnsi="Lato" w:cs="Arial"/>
          <w:b/>
          <w:sz w:val="20"/>
          <w:szCs w:val="20"/>
        </w:rPr>
        <w:t>I</w:t>
      </w:r>
      <w:r w:rsidR="00306F0B" w:rsidRPr="008C2F4D">
        <w:rPr>
          <w:rFonts w:ascii="Lato" w:hAnsi="Lato" w:cs="Arial"/>
          <w:b/>
          <w:sz w:val="20"/>
          <w:szCs w:val="20"/>
        </w:rPr>
        <w:t>NNE DOKUMENTY</w:t>
      </w:r>
      <w:r w:rsidR="00FE29A1">
        <w:rPr>
          <w:rFonts w:ascii="Lato" w:hAnsi="Lato" w:cs="Arial"/>
          <w:b/>
          <w:sz w:val="20"/>
          <w:szCs w:val="20"/>
        </w:rPr>
        <w:t>:</w:t>
      </w:r>
    </w:p>
    <w:p w14:paraId="653F0FE3" w14:textId="77777777" w:rsidR="00CB3528" w:rsidRPr="008C2F4D" w:rsidRDefault="00CB3528" w:rsidP="00CB3528">
      <w:pPr>
        <w:pStyle w:val="Default"/>
        <w:rPr>
          <w:rFonts w:ascii="Lato" w:hAnsi="Lato"/>
          <w:sz w:val="20"/>
          <w:szCs w:val="20"/>
        </w:rPr>
      </w:pPr>
    </w:p>
    <w:p w14:paraId="3F5165AF" w14:textId="77777777" w:rsidR="00CB3528" w:rsidRPr="008C2F4D" w:rsidRDefault="00CB3528" w:rsidP="00CB3528">
      <w:pPr>
        <w:pStyle w:val="Default"/>
        <w:numPr>
          <w:ilvl w:val="0"/>
          <w:numId w:val="5"/>
        </w:numPr>
        <w:ind w:left="397" w:hanging="397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Instrukcję obsługi wagi w języku polskim. </w:t>
      </w:r>
    </w:p>
    <w:p w14:paraId="30B6CBD5" w14:textId="3911D1C2" w:rsidR="00734FA6" w:rsidRPr="008C2F4D" w:rsidRDefault="00CB3528" w:rsidP="00CB3528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>W przypadku wag elektronicznych -</w:t>
      </w:r>
      <w:r w:rsidR="00FE29A1">
        <w:rPr>
          <w:rFonts w:ascii="Lato" w:hAnsi="Lato"/>
          <w:sz w:val="20"/>
          <w:szCs w:val="20"/>
        </w:rPr>
        <w:t xml:space="preserve"> </w:t>
      </w:r>
      <w:r w:rsidRPr="008C2F4D">
        <w:rPr>
          <w:rFonts w:ascii="Lato" w:hAnsi="Lato"/>
          <w:sz w:val="20"/>
          <w:szCs w:val="20"/>
        </w:rPr>
        <w:t xml:space="preserve">deklarację producenta </w:t>
      </w:r>
      <w:r w:rsidR="00FE29A1">
        <w:rPr>
          <w:rFonts w:ascii="Lato" w:hAnsi="Lato"/>
          <w:sz w:val="20"/>
          <w:szCs w:val="20"/>
        </w:rPr>
        <w:t>dotyczącą</w:t>
      </w:r>
      <w:r w:rsidRPr="008C2F4D">
        <w:rPr>
          <w:rFonts w:ascii="Lato" w:hAnsi="Lato"/>
          <w:sz w:val="20"/>
          <w:szCs w:val="20"/>
        </w:rPr>
        <w:t xml:space="preserve"> wymagań dla operacji realizowanych programowo, których sprawdzenie nie jest dostępne np. zabezpieczenie przekazywania danych przez interfejs lub opis przewidzianych w wadze zabezpieczeń (w tym programowych) uniemożliwiających niewłaściwe lub niezgodne z prawem stosowanie. </w:t>
      </w:r>
    </w:p>
    <w:p w14:paraId="6FB67B60" w14:textId="77777777" w:rsidR="00CB3528" w:rsidRPr="008C2F4D" w:rsidRDefault="00CB3528" w:rsidP="00734FA6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 Aktualny wyciąg z rejestru działalności gospodarczej właściwego dla zgłaszającego. </w:t>
      </w:r>
    </w:p>
    <w:p w14:paraId="46A7F947" w14:textId="77777777" w:rsidR="00CB3528" w:rsidRPr="008C2F4D" w:rsidRDefault="00CB3528" w:rsidP="00734FA6">
      <w:pPr>
        <w:pStyle w:val="Default"/>
        <w:numPr>
          <w:ilvl w:val="0"/>
          <w:numId w:val="5"/>
        </w:numPr>
        <w:ind w:left="360" w:hanging="360"/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3512E5BF" w14:textId="77777777" w:rsidR="00587956" w:rsidRPr="008C2F4D" w:rsidRDefault="00CB3528" w:rsidP="007A065B">
      <w:pPr>
        <w:pStyle w:val="Default"/>
        <w:numPr>
          <w:ilvl w:val="0"/>
          <w:numId w:val="5"/>
        </w:numPr>
        <w:tabs>
          <w:tab w:val="left" w:pos="360"/>
        </w:tabs>
        <w:rPr>
          <w:rFonts w:ascii="Lato" w:hAnsi="Lato"/>
          <w:sz w:val="20"/>
          <w:szCs w:val="20"/>
        </w:rPr>
      </w:pPr>
      <w:r w:rsidRPr="008C2F4D">
        <w:rPr>
          <w:rFonts w:ascii="Lato" w:hAnsi="Lato"/>
          <w:sz w:val="20"/>
          <w:szCs w:val="20"/>
        </w:rPr>
        <w:t xml:space="preserve">Analizę i ocenę ryzyka w zakresie dokonywanej oceny zgodności. </w:t>
      </w:r>
    </w:p>
    <w:p w14:paraId="310498C5" w14:textId="77777777" w:rsidR="009E3FAF" w:rsidRPr="008C2F4D" w:rsidRDefault="009E3FAF" w:rsidP="009E3FAF">
      <w:pPr>
        <w:jc w:val="both"/>
        <w:rPr>
          <w:rFonts w:ascii="Lato" w:hAnsi="Lato" w:cs="Arial"/>
          <w:sz w:val="20"/>
          <w:szCs w:val="20"/>
        </w:rPr>
      </w:pPr>
    </w:p>
    <w:p w14:paraId="186582E1" w14:textId="77777777" w:rsidR="00A17CC7" w:rsidRPr="008C2F4D" w:rsidRDefault="00A17CC7" w:rsidP="00A60CB4">
      <w:pPr>
        <w:numPr>
          <w:ilvl w:val="0"/>
          <w:numId w:val="1"/>
        </w:numPr>
        <w:tabs>
          <w:tab w:val="clear" w:pos="397"/>
        </w:tabs>
        <w:jc w:val="both"/>
        <w:rPr>
          <w:rFonts w:ascii="Lato" w:hAnsi="Lato" w:cs="Arial"/>
          <w:b/>
          <w:caps/>
          <w:sz w:val="20"/>
          <w:szCs w:val="20"/>
        </w:rPr>
      </w:pPr>
      <w:r w:rsidRPr="008C2F4D">
        <w:rPr>
          <w:rFonts w:ascii="Lato" w:hAnsi="Lato" w:cs="Arial"/>
          <w:b/>
          <w:caps/>
          <w:sz w:val="20"/>
          <w:szCs w:val="20"/>
        </w:rPr>
        <w:t xml:space="preserve">Dokumentację oprogramowania </w:t>
      </w:r>
    </w:p>
    <w:p w14:paraId="095AA5E4" w14:textId="77777777" w:rsidR="006824E8" w:rsidRPr="008C2F4D" w:rsidRDefault="006824E8" w:rsidP="006824E8">
      <w:pPr>
        <w:jc w:val="both"/>
        <w:rPr>
          <w:rFonts w:ascii="Lato" w:hAnsi="Lato" w:cs="Arial"/>
          <w:b/>
          <w:caps/>
          <w:sz w:val="20"/>
          <w:szCs w:val="20"/>
        </w:rPr>
      </w:pPr>
    </w:p>
    <w:p w14:paraId="759ADF7C" w14:textId="77777777" w:rsidR="00A17CC7" w:rsidRPr="008C2F4D" w:rsidRDefault="00A17CC7" w:rsidP="00C93809">
      <w:pPr>
        <w:ind w:right="-50"/>
        <w:jc w:val="both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  <w:t xml:space="preserve">W przypadku </w:t>
      </w:r>
      <w:r w:rsidR="00BE51B1" w:rsidRPr="008C2F4D">
        <w:rPr>
          <w:rFonts w:ascii="Lato" w:hAnsi="Lato" w:cs="Arial"/>
          <w:sz w:val="20"/>
          <w:szCs w:val="20"/>
        </w:rPr>
        <w:t xml:space="preserve">wag </w:t>
      </w:r>
      <w:r w:rsidR="00734FA6" w:rsidRPr="008C2F4D">
        <w:rPr>
          <w:rFonts w:ascii="Lato" w:hAnsi="Lato" w:cs="Arial"/>
          <w:sz w:val="20"/>
          <w:szCs w:val="20"/>
        </w:rPr>
        <w:t>nie</w:t>
      </w:r>
      <w:r w:rsidR="00BE51B1" w:rsidRPr="008C2F4D">
        <w:rPr>
          <w:rFonts w:ascii="Lato" w:hAnsi="Lato" w:cs="Arial"/>
          <w:sz w:val="20"/>
          <w:szCs w:val="20"/>
        </w:rPr>
        <w:t xml:space="preserve">automatycznych </w:t>
      </w:r>
      <w:r w:rsidRPr="008C2F4D">
        <w:rPr>
          <w:rFonts w:ascii="Lato" w:hAnsi="Lato" w:cs="Arial"/>
          <w:sz w:val="20"/>
          <w:szCs w:val="20"/>
        </w:rPr>
        <w:t>z oprogramowaniem, należy dostarczyć dokumentację tego oprogramowania opracowaną według „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Wytycznych Jednostki Notyfikowanej nr 1440 dotyczących zawartości dokumentacji opisującej bezpieczeństwo oprogramowania przyrządu pomiarowego zgłoszonego do badań typu 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UE 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wg. Dyrektywy 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>2014/3</w:t>
      </w:r>
      <w:r w:rsidR="00734FA6" w:rsidRPr="008C2F4D">
        <w:rPr>
          <w:rFonts w:ascii="Lato" w:hAnsi="Lato" w:cs="Arial"/>
          <w:color w:val="0000FF"/>
          <w:sz w:val="20"/>
          <w:szCs w:val="20"/>
          <w:u w:val="single"/>
        </w:rPr>
        <w:t>1</w:t>
      </w:r>
      <w:r w:rsidR="00B70616" w:rsidRPr="008C2F4D">
        <w:rPr>
          <w:rFonts w:ascii="Lato" w:hAnsi="Lato" w:cs="Arial"/>
          <w:color w:val="0000FF"/>
          <w:sz w:val="20"/>
          <w:szCs w:val="20"/>
          <w:u w:val="single"/>
        </w:rPr>
        <w:t>/UE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 xml:space="preserve"> (</w:t>
      </w:r>
      <w:r w:rsidR="00734FA6" w:rsidRPr="008C2F4D">
        <w:rPr>
          <w:rFonts w:ascii="Lato" w:hAnsi="Lato" w:cs="Arial"/>
          <w:color w:val="0000FF"/>
          <w:sz w:val="20"/>
          <w:szCs w:val="20"/>
          <w:u w:val="single"/>
        </w:rPr>
        <w:t>NAWI</w:t>
      </w:r>
      <w:r w:rsidRPr="008C2F4D">
        <w:rPr>
          <w:rFonts w:ascii="Lato" w:hAnsi="Lato" w:cs="Arial"/>
          <w:color w:val="0000FF"/>
          <w:sz w:val="20"/>
          <w:szCs w:val="20"/>
          <w:u w:val="single"/>
        </w:rPr>
        <w:t>D)</w:t>
      </w:r>
      <w:r w:rsidRPr="008C2F4D">
        <w:rPr>
          <w:rFonts w:ascii="Lato" w:hAnsi="Lato" w:cs="Arial"/>
          <w:sz w:val="20"/>
          <w:szCs w:val="20"/>
        </w:rPr>
        <w:t>”</w:t>
      </w:r>
    </w:p>
    <w:p w14:paraId="517C9913" w14:textId="50A0E3BE" w:rsidR="00B145B5" w:rsidRPr="008C2F4D" w:rsidRDefault="00513806" w:rsidP="002F0F36">
      <w:pPr>
        <w:ind w:right="-50"/>
        <w:jc w:val="both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</w:r>
      <w:r w:rsidR="0010701A" w:rsidRPr="008C2F4D">
        <w:rPr>
          <w:rFonts w:ascii="Lato" w:hAnsi="Lato" w:cs="Arial"/>
          <w:sz w:val="20"/>
          <w:szCs w:val="20"/>
        </w:rPr>
        <w:t>W przypadku wstępnego stwierdzenia</w:t>
      </w:r>
      <w:r w:rsidR="00FE29A1">
        <w:rPr>
          <w:rFonts w:ascii="Lato" w:hAnsi="Lato" w:cs="Arial"/>
          <w:sz w:val="20"/>
          <w:szCs w:val="20"/>
        </w:rPr>
        <w:t>,</w:t>
      </w:r>
      <w:r w:rsidR="0010701A" w:rsidRPr="008C2F4D">
        <w:rPr>
          <w:rFonts w:ascii="Lato" w:hAnsi="Lato" w:cs="Arial"/>
          <w:sz w:val="20"/>
          <w:szCs w:val="20"/>
        </w:rPr>
        <w:t xml:space="preserve"> iż jeden lub kilka aspektów bezpieczeństwa oprogramowania przyrządu lub danych nie zostało przez </w:t>
      </w:r>
      <w:r w:rsidR="005E3AF6" w:rsidRPr="008C2F4D">
        <w:rPr>
          <w:rFonts w:ascii="Lato" w:hAnsi="Lato" w:cs="Arial"/>
          <w:sz w:val="20"/>
          <w:szCs w:val="20"/>
        </w:rPr>
        <w:t xml:space="preserve">zgłaszającego </w:t>
      </w:r>
      <w:r w:rsidR="0010701A" w:rsidRPr="008C2F4D">
        <w:rPr>
          <w:rFonts w:ascii="Lato" w:hAnsi="Lato" w:cs="Arial"/>
          <w:sz w:val="20"/>
          <w:szCs w:val="20"/>
        </w:rPr>
        <w:t>przyrząd do badań uwzględnione w opisie</w:t>
      </w:r>
      <w:r w:rsidR="00873388" w:rsidRPr="008C2F4D">
        <w:rPr>
          <w:rFonts w:ascii="Lato" w:hAnsi="Lato" w:cs="Arial"/>
          <w:sz w:val="20"/>
          <w:szCs w:val="20"/>
        </w:rPr>
        <w:t xml:space="preserve"> </w:t>
      </w:r>
      <w:r w:rsidR="00FE29A1">
        <w:rPr>
          <w:rFonts w:ascii="Lato" w:hAnsi="Lato" w:cs="Arial"/>
          <w:sz w:val="20"/>
          <w:szCs w:val="20"/>
        </w:rPr>
        <w:t>Departament Certyfikacji</w:t>
      </w:r>
      <w:r w:rsidR="0010701A" w:rsidRPr="008C2F4D">
        <w:rPr>
          <w:rFonts w:ascii="Lato" w:hAnsi="Lato" w:cs="Arial"/>
          <w:sz w:val="20"/>
          <w:szCs w:val="20"/>
        </w:rPr>
        <w:t xml:space="preserve"> GUM wystąpi pisemnie do </w:t>
      </w:r>
      <w:r w:rsidR="005E3AF6" w:rsidRPr="008C2F4D">
        <w:rPr>
          <w:rFonts w:ascii="Lato" w:hAnsi="Lato" w:cs="Arial"/>
          <w:sz w:val="20"/>
          <w:szCs w:val="20"/>
        </w:rPr>
        <w:t>zgłaszającego</w:t>
      </w:r>
      <w:r w:rsidR="0010701A" w:rsidRPr="008C2F4D">
        <w:rPr>
          <w:rFonts w:ascii="Lato" w:hAnsi="Lato" w:cs="Arial"/>
          <w:sz w:val="20"/>
          <w:szCs w:val="20"/>
        </w:rPr>
        <w:t xml:space="preserve"> o uzupełnienie dokumentacji oprogramowania o opis określonych aspektów bezpieczeństwa oprogramowania i danych, warunkujący rozpoczęcie technicznych badań przyrządu. </w:t>
      </w:r>
    </w:p>
    <w:p w14:paraId="34093FA6" w14:textId="77777777" w:rsidR="00C86A77" w:rsidRPr="008C2F4D" w:rsidRDefault="00C86A77" w:rsidP="002F0F36">
      <w:pPr>
        <w:ind w:right="-50"/>
        <w:jc w:val="both"/>
        <w:rPr>
          <w:rFonts w:ascii="Lato" w:hAnsi="Lato" w:cs="Arial"/>
          <w:sz w:val="20"/>
          <w:szCs w:val="20"/>
        </w:rPr>
      </w:pPr>
    </w:p>
    <w:p w14:paraId="61DBA3A9" w14:textId="474DC165" w:rsidR="00C86A77" w:rsidRPr="008C2F4D" w:rsidRDefault="00C86A77" w:rsidP="00C86A77">
      <w:pPr>
        <w:ind w:right="-50"/>
        <w:jc w:val="both"/>
        <w:rPr>
          <w:rFonts w:ascii="Lato" w:hAnsi="Lato" w:cs="Arial"/>
          <w:sz w:val="20"/>
          <w:szCs w:val="20"/>
        </w:rPr>
      </w:pPr>
      <w:r w:rsidRPr="008C2F4D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8812CE">
        <w:rPr>
          <w:rFonts w:ascii="Lato" w:hAnsi="Lato" w:cs="Arial"/>
          <w:sz w:val="20"/>
          <w:szCs w:val="20"/>
        </w:rPr>
        <w:t xml:space="preserve">Departament Certyfikacji </w:t>
      </w:r>
      <w:r w:rsidRPr="008C2F4D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8C2F4D">
        <w:rPr>
          <w:rFonts w:ascii="Lato" w:hAnsi="Lato" w:cs="Arial"/>
          <w:sz w:val="20"/>
          <w:szCs w:val="20"/>
        </w:rPr>
        <w:br/>
      </w:r>
      <w:r w:rsidRPr="008C2F4D">
        <w:rPr>
          <w:rFonts w:ascii="Lato" w:hAnsi="Lato" w:cs="Arial"/>
          <w:sz w:val="20"/>
          <w:szCs w:val="20"/>
        </w:rPr>
        <w:t xml:space="preserve">o uzupełnienie dokumentacji technicznej, której skompletowanie jest warunkiem rozpoczęcia procedury </w:t>
      </w:r>
      <w:r w:rsidR="00EB6BED" w:rsidRPr="008C2F4D">
        <w:rPr>
          <w:rFonts w:ascii="Lato" w:hAnsi="Lato" w:cs="Arial"/>
          <w:sz w:val="20"/>
          <w:szCs w:val="20"/>
        </w:rPr>
        <w:t>oceny zgodności</w:t>
      </w:r>
      <w:r w:rsidRPr="008C2F4D">
        <w:rPr>
          <w:rFonts w:ascii="Lato" w:hAnsi="Lato" w:cs="Arial"/>
          <w:sz w:val="20"/>
          <w:szCs w:val="20"/>
        </w:rPr>
        <w:t>.</w:t>
      </w:r>
    </w:p>
    <w:p w14:paraId="42227ADD" w14:textId="77777777" w:rsidR="00C86A77" w:rsidRPr="008C2F4D" w:rsidRDefault="00C86A77" w:rsidP="00C86A77">
      <w:pPr>
        <w:ind w:right="-50"/>
        <w:jc w:val="both"/>
        <w:rPr>
          <w:rFonts w:ascii="Lato" w:hAnsi="Lato"/>
        </w:rPr>
      </w:pPr>
    </w:p>
    <w:sectPr w:rsidR="00C86A77" w:rsidRPr="008C2F4D" w:rsidSect="00BC2CA7">
      <w:headerReference w:type="default" r:id="rId8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40C1" w14:textId="77777777" w:rsidR="00A453B6" w:rsidRDefault="00A453B6">
      <w:r>
        <w:separator/>
      </w:r>
    </w:p>
  </w:endnote>
  <w:endnote w:type="continuationSeparator" w:id="0">
    <w:p w14:paraId="64B1851A" w14:textId="77777777" w:rsidR="00A453B6" w:rsidRDefault="00A4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76F7" w14:textId="77777777" w:rsidR="00A453B6" w:rsidRDefault="00A453B6">
      <w:r>
        <w:separator/>
      </w:r>
    </w:p>
  </w:footnote>
  <w:footnote w:type="continuationSeparator" w:id="0">
    <w:p w14:paraId="0BFA591F" w14:textId="77777777" w:rsidR="00A453B6" w:rsidRDefault="00A4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5B4D" w14:textId="77777777" w:rsidR="00802074" w:rsidRPr="00276CFC" w:rsidRDefault="00802074" w:rsidP="00D9268E">
    <w:pPr>
      <w:pStyle w:val="Nagwek"/>
      <w:jc w:val="right"/>
      <w:rPr>
        <w:sz w:val="22"/>
        <w:szCs w:val="22"/>
      </w:rPr>
    </w:pPr>
    <w:r w:rsidRPr="006824E8">
      <w:rPr>
        <w:sz w:val="22"/>
        <w:szCs w:val="22"/>
      </w:rPr>
      <w:t>Z_</w:t>
    </w:r>
    <w:r w:rsidR="00010159">
      <w:rPr>
        <w:sz w:val="22"/>
        <w:szCs w:val="22"/>
      </w:rPr>
      <w:t>(</w:t>
    </w:r>
    <w:r w:rsidRPr="00276CFC">
      <w:rPr>
        <w:sz w:val="22"/>
        <w:szCs w:val="22"/>
      </w:rPr>
      <w:t xml:space="preserve">POG_ </w:t>
    </w:r>
    <w:proofErr w:type="spellStart"/>
    <w:r w:rsidRPr="00276CFC">
      <w:rPr>
        <w:sz w:val="22"/>
        <w:szCs w:val="22"/>
      </w:rPr>
      <w:t>K</w:t>
    </w:r>
    <w:r w:rsidR="00462B6B">
      <w:rPr>
        <w:sz w:val="22"/>
        <w:szCs w:val="22"/>
      </w:rPr>
      <w:t>ZS</w:t>
    </w:r>
    <w:r w:rsidRPr="00276CFC">
      <w:rPr>
        <w:sz w:val="22"/>
        <w:szCs w:val="22"/>
      </w:rPr>
      <w:t>Z_</w:t>
    </w:r>
    <w:r w:rsidR="00462B6B">
      <w:rPr>
        <w:sz w:val="22"/>
        <w:szCs w:val="22"/>
      </w:rPr>
      <w:t>w</w:t>
    </w:r>
    <w:proofErr w:type="spellEnd"/>
    <w:r w:rsidR="00010159">
      <w:rPr>
        <w:sz w:val="22"/>
        <w:szCs w:val="22"/>
      </w:rPr>
      <w:t>)</w:t>
    </w:r>
  </w:p>
  <w:p w14:paraId="1CB971D7" w14:textId="77777777" w:rsidR="00802074" w:rsidRPr="00DD1FBB" w:rsidRDefault="00802074" w:rsidP="00D9268E">
    <w:pPr>
      <w:pStyle w:val="Nagwek"/>
      <w:spacing w:before="80"/>
      <w:jc w:val="right"/>
      <w:rPr>
        <w:sz w:val="20"/>
        <w:szCs w:val="20"/>
      </w:rPr>
    </w:pPr>
    <w:r w:rsidRPr="00DD1FBB">
      <w:rPr>
        <w:sz w:val="20"/>
        <w:szCs w:val="20"/>
      </w:rPr>
      <w:t xml:space="preserve">Strona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PAGE </w:instrText>
    </w:r>
    <w:r w:rsidRPr="00DD1FBB">
      <w:rPr>
        <w:rStyle w:val="Numerstrony"/>
        <w:sz w:val="20"/>
        <w:szCs w:val="20"/>
      </w:rPr>
      <w:fldChar w:fldCharType="separate"/>
    </w:r>
    <w:r w:rsidR="007A065B">
      <w:rPr>
        <w:rStyle w:val="Numerstrony"/>
        <w:noProof/>
        <w:sz w:val="20"/>
        <w:szCs w:val="20"/>
      </w:rPr>
      <w:t>2</w:t>
    </w:r>
    <w:r w:rsidRPr="00DD1FBB">
      <w:rPr>
        <w:rStyle w:val="Numerstrony"/>
        <w:sz w:val="20"/>
        <w:szCs w:val="20"/>
      </w:rPr>
      <w:fldChar w:fldCharType="end"/>
    </w:r>
    <w:r w:rsidRPr="00DD1FBB">
      <w:rPr>
        <w:rStyle w:val="Numerstrony"/>
        <w:sz w:val="20"/>
        <w:szCs w:val="20"/>
      </w:rPr>
      <w:t xml:space="preserve"> z </w:t>
    </w:r>
    <w:r w:rsidRPr="00DD1FBB">
      <w:rPr>
        <w:rStyle w:val="Numerstrony"/>
        <w:sz w:val="20"/>
        <w:szCs w:val="20"/>
      </w:rPr>
      <w:fldChar w:fldCharType="begin"/>
    </w:r>
    <w:r w:rsidRPr="00DD1FBB">
      <w:rPr>
        <w:rStyle w:val="Numerstrony"/>
        <w:sz w:val="20"/>
        <w:szCs w:val="20"/>
      </w:rPr>
      <w:instrText xml:space="preserve"> NUMPAGES </w:instrText>
    </w:r>
    <w:r w:rsidRPr="00DD1FBB">
      <w:rPr>
        <w:rStyle w:val="Numerstrony"/>
        <w:sz w:val="20"/>
        <w:szCs w:val="20"/>
      </w:rPr>
      <w:fldChar w:fldCharType="separate"/>
    </w:r>
    <w:r w:rsidR="007A065B">
      <w:rPr>
        <w:rStyle w:val="Numerstrony"/>
        <w:noProof/>
        <w:sz w:val="20"/>
        <w:szCs w:val="20"/>
      </w:rPr>
      <w:t>3</w:t>
    </w:r>
    <w:r w:rsidRPr="00DD1FBB">
      <w:rPr>
        <w:rStyle w:val="Numerstrony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310F76"/>
    <w:multiLevelType w:val="multilevel"/>
    <w:tmpl w:val="B99A02F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2BD58B5"/>
    <w:multiLevelType w:val="hybridMultilevel"/>
    <w:tmpl w:val="6AEB47D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4699A809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BAF5C6D"/>
    <w:multiLevelType w:val="hybridMultilevel"/>
    <w:tmpl w:val="F0A5B2F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7DBC49E"/>
    <w:multiLevelType w:val="hybridMultilevel"/>
    <w:tmpl w:val="CBDA14E0"/>
    <w:lvl w:ilvl="0" w:tplc="123830A6">
      <w:numFmt w:val="none"/>
      <w:lvlText w:val=""/>
      <w:lvlJc w:val="left"/>
      <w:pPr>
        <w:tabs>
          <w:tab w:val="num" w:pos="360"/>
        </w:tabs>
      </w:pPr>
    </w:lvl>
    <w:lvl w:ilvl="1" w:tplc="A756406A">
      <w:numFmt w:val="decimal"/>
      <w:lvlText w:val=""/>
      <w:lvlJc w:val="left"/>
    </w:lvl>
    <w:lvl w:ilvl="2" w:tplc="AF062CE2">
      <w:numFmt w:val="decimal"/>
      <w:lvlText w:val=""/>
      <w:lvlJc w:val="left"/>
    </w:lvl>
    <w:lvl w:ilvl="3" w:tplc="443ADD96">
      <w:numFmt w:val="decimal"/>
      <w:lvlText w:val=""/>
      <w:lvlJc w:val="left"/>
    </w:lvl>
    <w:lvl w:ilvl="4" w:tplc="73A4EB48">
      <w:numFmt w:val="decimal"/>
      <w:lvlText w:val=""/>
      <w:lvlJc w:val="left"/>
    </w:lvl>
    <w:lvl w:ilvl="5" w:tplc="E1C629D0">
      <w:numFmt w:val="decimal"/>
      <w:lvlText w:val=""/>
      <w:lvlJc w:val="left"/>
    </w:lvl>
    <w:lvl w:ilvl="6" w:tplc="9E04876E">
      <w:numFmt w:val="decimal"/>
      <w:lvlText w:val=""/>
      <w:lvlJc w:val="left"/>
    </w:lvl>
    <w:lvl w:ilvl="7" w:tplc="03704D50">
      <w:numFmt w:val="decimal"/>
      <w:lvlText w:val=""/>
      <w:lvlJc w:val="left"/>
    </w:lvl>
    <w:lvl w:ilvl="8" w:tplc="6D36504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7E2A"/>
    <w:rsid w:val="00010159"/>
    <w:rsid w:val="00020546"/>
    <w:rsid w:val="00021B34"/>
    <w:rsid w:val="00035DF5"/>
    <w:rsid w:val="00042DAB"/>
    <w:rsid w:val="00061B4D"/>
    <w:rsid w:val="00074D15"/>
    <w:rsid w:val="0007548B"/>
    <w:rsid w:val="000A43ED"/>
    <w:rsid w:val="000B3675"/>
    <w:rsid w:val="000C1965"/>
    <w:rsid w:val="000C79DE"/>
    <w:rsid w:val="000C7D52"/>
    <w:rsid w:val="00100190"/>
    <w:rsid w:val="0010701A"/>
    <w:rsid w:val="00107741"/>
    <w:rsid w:val="001115B5"/>
    <w:rsid w:val="00114362"/>
    <w:rsid w:val="001353E8"/>
    <w:rsid w:val="00142A56"/>
    <w:rsid w:val="001448CA"/>
    <w:rsid w:val="00174952"/>
    <w:rsid w:val="00186CF6"/>
    <w:rsid w:val="00190C2B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20D3F"/>
    <w:rsid w:val="003258C4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776B"/>
    <w:rsid w:val="00440111"/>
    <w:rsid w:val="004624F8"/>
    <w:rsid w:val="00462B6B"/>
    <w:rsid w:val="00466F1E"/>
    <w:rsid w:val="00470BB2"/>
    <w:rsid w:val="00476C8E"/>
    <w:rsid w:val="00480B35"/>
    <w:rsid w:val="004818F4"/>
    <w:rsid w:val="004830DC"/>
    <w:rsid w:val="00483E2B"/>
    <w:rsid w:val="004A066B"/>
    <w:rsid w:val="004B68C6"/>
    <w:rsid w:val="00501D62"/>
    <w:rsid w:val="00504DBE"/>
    <w:rsid w:val="00510485"/>
    <w:rsid w:val="00513806"/>
    <w:rsid w:val="005159BD"/>
    <w:rsid w:val="0053745D"/>
    <w:rsid w:val="00547415"/>
    <w:rsid w:val="00554E76"/>
    <w:rsid w:val="00563512"/>
    <w:rsid w:val="00571B88"/>
    <w:rsid w:val="00571D4A"/>
    <w:rsid w:val="005730EA"/>
    <w:rsid w:val="00581D77"/>
    <w:rsid w:val="0058445B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34FA6"/>
    <w:rsid w:val="007660B5"/>
    <w:rsid w:val="00792382"/>
    <w:rsid w:val="00796C63"/>
    <w:rsid w:val="007A065B"/>
    <w:rsid w:val="007A7892"/>
    <w:rsid w:val="007A7903"/>
    <w:rsid w:val="007B51DE"/>
    <w:rsid w:val="007D1E9C"/>
    <w:rsid w:val="007E14EB"/>
    <w:rsid w:val="007F49A4"/>
    <w:rsid w:val="00802074"/>
    <w:rsid w:val="0081133F"/>
    <w:rsid w:val="00820CF2"/>
    <w:rsid w:val="0083233B"/>
    <w:rsid w:val="0084076C"/>
    <w:rsid w:val="00856BD6"/>
    <w:rsid w:val="00873388"/>
    <w:rsid w:val="008812CE"/>
    <w:rsid w:val="008822AA"/>
    <w:rsid w:val="00887095"/>
    <w:rsid w:val="008906DB"/>
    <w:rsid w:val="00895DA1"/>
    <w:rsid w:val="008C26D6"/>
    <w:rsid w:val="008C2F4D"/>
    <w:rsid w:val="008E760B"/>
    <w:rsid w:val="008F7E37"/>
    <w:rsid w:val="0090252E"/>
    <w:rsid w:val="009065D8"/>
    <w:rsid w:val="00942CBD"/>
    <w:rsid w:val="00950059"/>
    <w:rsid w:val="00960B63"/>
    <w:rsid w:val="00962C30"/>
    <w:rsid w:val="00966984"/>
    <w:rsid w:val="00970554"/>
    <w:rsid w:val="00972984"/>
    <w:rsid w:val="009804DF"/>
    <w:rsid w:val="00982C29"/>
    <w:rsid w:val="00993E0A"/>
    <w:rsid w:val="009A5B38"/>
    <w:rsid w:val="009B7AA5"/>
    <w:rsid w:val="009C3EE5"/>
    <w:rsid w:val="009D6B81"/>
    <w:rsid w:val="009E3FAF"/>
    <w:rsid w:val="009E65D3"/>
    <w:rsid w:val="009F32C6"/>
    <w:rsid w:val="00A14174"/>
    <w:rsid w:val="00A17CC7"/>
    <w:rsid w:val="00A31119"/>
    <w:rsid w:val="00A341F8"/>
    <w:rsid w:val="00A453B6"/>
    <w:rsid w:val="00A51DAF"/>
    <w:rsid w:val="00A53D65"/>
    <w:rsid w:val="00A60CB4"/>
    <w:rsid w:val="00A62F3F"/>
    <w:rsid w:val="00A66B39"/>
    <w:rsid w:val="00A7220E"/>
    <w:rsid w:val="00A727FA"/>
    <w:rsid w:val="00A76C01"/>
    <w:rsid w:val="00A8745E"/>
    <w:rsid w:val="00AA3890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70616"/>
    <w:rsid w:val="00B76660"/>
    <w:rsid w:val="00BA6199"/>
    <w:rsid w:val="00BB6B9C"/>
    <w:rsid w:val="00BC2CA7"/>
    <w:rsid w:val="00BC530B"/>
    <w:rsid w:val="00BE51B1"/>
    <w:rsid w:val="00BE541B"/>
    <w:rsid w:val="00BF2C6A"/>
    <w:rsid w:val="00BF3C90"/>
    <w:rsid w:val="00C041A6"/>
    <w:rsid w:val="00C06EC6"/>
    <w:rsid w:val="00C070F7"/>
    <w:rsid w:val="00C104B2"/>
    <w:rsid w:val="00C50A9C"/>
    <w:rsid w:val="00C52113"/>
    <w:rsid w:val="00C6565B"/>
    <w:rsid w:val="00C6709F"/>
    <w:rsid w:val="00C83A30"/>
    <w:rsid w:val="00C86A77"/>
    <w:rsid w:val="00C91404"/>
    <w:rsid w:val="00C92377"/>
    <w:rsid w:val="00C93809"/>
    <w:rsid w:val="00CB194E"/>
    <w:rsid w:val="00CB3528"/>
    <w:rsid w:val="00CE51BE"/>
    <w:rsid w:val="00CF538A"/>
    <w:rsid w:val="00D0378F"/>
    <w:rsid w:val="00D06A6C"/>
    <w:rsid w:val="00D11B06"/>
    <w:rsid w:val="00D129C5"/>
    <w:rsid w:val="00D426BB"/>
    <w:rsid w:val="00D50C87"/>
    <w:rsid w:val="00D61D9F"/>
    <w:rsid w:val="00D85C18"/>
    <w:rsid w:val="00D9268E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A4B61"/>
    <w:rsid w:val="00EA5E07"/>
    <w:rsid w:val="00EA7C24"/>
    <w:rsid w:val="00EB6216"/>
    <w:rsid w:val="00EB6BED"/>
    <w:rsid w:val="00ED70B9"/>
    <w:rsid w:val="00EE1D9A"/>
    <w:rsid w:val="00EE39C3"/>
    <w:rsid w:val="00F050F1"/>
    <w:rsid w:val="00F067B3"/>
    <w:rsid w:val="00F119BA"/>
    <w:rsid w:val="00F26727"/>
    <w:rsid w:val="00F32786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B68F9"/>
    <w:rsid w:val="00FC7363"/>
    <w:rsid w:val="00FD047A"/>
    <w:rsid w:val="00FE29A1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CC1CACA"/>
  <w15:chartTrackingRefBased/>
  <w15:docId w15:val="{44DCADFA-71BE-4C01-8A4A-6AE70D36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eastAsia="pl-PL"/>
    </w:rPr>
  </w:style>
  <w:style w:type="paragraph" w:styleId="Nagwek">
    <w:name w:val="header"/>
    <w:basedOn w:val="Normalny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3528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pl-PL" w:eastAsia="ko-KR"/>
    </w:rPr>
  </w:style>
  <w:style w:type="paragraph" w:customStyle="1" w:styleId="CM14">
    <w:name w:val="CM14"/>
    <w:basedOn w:val="Default"/>
    <w:next w:val="Default"/>
    <w:rsid w:val="00CB352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7174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Ślęzak Andrzej</cp:lastModifiedBy>
  <cp:revision>2</cp:revision>
  <cp:lastPrinted>2015-09-14T12:03:00Z</cp:lastPrinted>
  <dcterms:created xsi:type="dcterms:W3CDTF">2022-08-24T11:32:00Z</dcterms:created>
  <dcterms:modified xsi:type="dcterms:W3CDTF">2022-08-24T11:32:00Z</dcterms:modified>
</cp:coreProperties>
</file>