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Lato" w:hAnsi="Lato"/>
          <w:b/>
          <w:bCs/>
          <w:u w:val="single"/>
        </w:rPr>
      </w:pPr>
      <w:r>
        <w:rPr>
          <w:rFonts w:ascii="Lato" w:hAnsi="Lato"/>
          <w:b/>
          <w:bCs/>
        </w:rPr>
        <w:t xml:space="preserve">  Informacja o przetwarzaniu danych osobowych w związku ze stosowaniem monitoringu wizyjnego</w:t>
      </w:r>
    </w:p>
    <w:p>
      <w:pPr>
        <w:spacing w:after="120" w:line="240" w:lineRule="auto"/>
        <w:ind w:left="284"/>
        <w:jc w:val="both"/>
        <w:rPr>
          <w:rFonts w:ascii="Lato" w:hAnsi="Lato" w:eastAsia="Calibri" w:cs="Calibri"/>
        </w:rPr>
      </w:pPr>
      <w:r>
        <w:rPr>
          <w:rFonts w:ascii="Lato" w:hAnsi="Lato" w:eastAsia="Calibri" w:cs="Calibri"/>
        </w:rPr>
        <w:t>Zgodnie z art. 13</w:t>
      </w:r>
      <w:r>
        <w:rPr>
          <w:rFonts w:ascii="Lato" w:hAnsi="Lato" w:eastAsia="Calibri" w:cs="Calibri"/>
          <w:color w:val="FF0000"/>
        </w:rPr>
        <w:t xml:space="preserve"> </w:t>
      </w:r>
      <w:r>
        <w:rPr>
          <w:rFonts w:ascii="Lato" w:hAnsi="Lato" w:eastAsia="Calibri" w:cs="Calibri"/>
        </w:rPr>
        <w:t>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zm. Dz. Urz. UE. L 2018 Nr 127, poz. 2), zwanego dalej RODO, informuję, że:</w:t>
      </w:r>
    </w:p>
    <w:p>
      <w:pPr>
        <w:pStyle w:val="9"/>
        <w:numPr>
          <w:ilvl w:val="0"/>
          <w:numId w:val="1"/>
        </w:numPr>
        <w:spacing w:after="96" w:afterLines="40"/>
        <w:jc w:val="both"/>
        <w:rPr>
          <w:rFonts w:ascii="Lato" w:hAnsi="Lato"/>
        </w:rPr>
      </w:pPr>
      <w:r>
        <w:rPr>
          <w:rFonts w:ascii="Lato" w:hAnsi="Lato"/>
        </w:rPr>
        <w:t xml:space="preserve">Administratorem Pani/Pana danych osobowych jest Prezes Głównego Urzędu Miar. </w:t>
      </w:r>
    </w:p>
    <w:p>
      <w:pPr>
        <w:pStyle w:val="9"/>
        <w:spacing w:after="96" w:afterLines="40"/>
        <w:jc w:val="both"/>
        <w:rPr>
          <w:rFonts w:ascii="Lato" w:hAnsi="Lato"/>
        </w:rPr>
      </w:pPr>
      <w:r>
        <w:rPr>
          <w:rFonts w:ascii="Lato" w:hAnsi="Lato"/>
        </w:rPr>
        <w:t xml:space="preserve">Kontakt z Administratorem danych: </w:t>
      </w:r>
    </w:p>
    <w:p>
      <w:pPr>
        <w:pStyle w:val="9"/>
        <w:numPr>
          <w:ilvl w:val="0"/>
          <w:numId w:val="2"/>
        </w:numPr>
        <w:spacing w:after="96" w:afterLines="40"/>
        <w:jc w:val="both"/>
        <w:rPr>
          <w:rFonts w:ascii="Lato" w:hAnsi="Lato"/>
        </w:rPr>
      </w:pPr>
      <w:r>
        <w:rPr>
          <w:rFonts w:ascii="Lato" w:hAnsi="Lato"/>
        </w:rPr>
        <w:t>tel.: (22) 581 93 99</w:t>
      </w:r>
    </w:p>
    <w:p>
      <w:pPr>
        <w:pStyle w:val="9"/>
        <w:numPr>
          <w:ilvl w:val="0"/>
          <w:numId w:val="2"/>
        </w:numPr>
        <w:spacing w:after="96" w:afterLines="40"/>
        <w:rPr>
          <w:rFonts w:ascii="Lato" w:hAnsi="Lato"/>
          <w:lang w:val="en-US"/>
        </w:rPr>
      </w:pPr>
      <w:r>
        <w:rPr>
          <w:rFonts w:ascii="Lato" w:hAnsi="Lato"/>
          <w:lang w:val="en-US"/>
        </w:rPr>
        <w:t xml:space="preserve">e-mail: </w:t>
      </w:r>
      <w:r>
        <w:fldChar w:fldCharType="begin"/>
      </w:r>
      <w:r>
        <w:instrText xml:space="preserve"> HYPERLINK "file:///C:\\Users\\Firma\\Desktop\\ZMIANY%20W%20KLAUZULACH\\KLAUZULE\\gum@gum.gov.p" \h </w:instrText>
      </w:r>
      <w:r>
        <w:fldChar w:fldCharType="separate"/>
      </w:r>
      <w:r>
        <w:rPr>
          <w:rStyle w:val="7"/>
          <w:rFonts w:ascii="Lato" w:hAnsi="Lato"/>
          <w:lang w:val="en-US"/>
        </w:rPr>
        <w:t>gum@gum.gov.p</w:t>
      </w:r>
      <w:r>
        <w:rPr>
          <w:rStyle w:val="7"/>
          <w:rFonts w:ascii="Lato" w:hAnsi="Lato"/>
          <w:lang w:val="en-US"/>
        </w:rPr>
        <w:fldChar w:fldCharType="end"/>
      </w:r>
      <w:r>
        <w:rPr>
          <w:rFonts w:ascii="Lato" w:hAnsi="Lato"/>
          <w:lang w:val="en-US"/>
        </w:rPr>
        <w:t>l</w:t>
      </w:r>
    </w:p>
    <w:p>
      <w:pPr>
        <w:pStyle w:val="9"/>
        <w:numPr>
          <w:ilvl w:val="0"/>
          <w:numId w:val="2"/>
        </w:numPr>
        <w:spacing w:after="96" w:afterLines="40"/>
        <w:jc w:val="both"/>
        <w:rPr>
          <w:rFonts w:ascii="Lato" w:hAnsi="Lato"/>
        </w:rPr>
      </w:pPr>
      <w:r>
        <w:rPr>
          <w:rFonts w:ascii="Lato" w:hAnsi="Lato"/>
        </w:rPr>
        <w:t>adres do korespondencji: Główny Urząd Miar, ul. Elektoralna 2, 0</w:t>
      </w:r>
      <w:r>
        <w:rPr>
          <w:rFonts w:ascii="Lato" w:hAnsi="Lato"/>
          <w:lang w:val="pl-PL"/>
        </w:rPr>
        <w:t>0</w:t>
      </w:r>
      <w:r>
        <w:rPr>
          <w:rFonts w:ascii="Lato" w:hAnsi="Lato"/>
        </w:rPr>
        <w:t>-139 Warszawa</w:t>
      </w:r>
    </w:p>
    <w:p>
      <w:pPr>
        <w:pStyle w:val="9"/>
        <w:numPr>
          <w:ilvl w:val="0"/>
          <w:numId w:val="3"/>
        </w:numPr>
        <w:spacing w:after="96" w:afterLines="40"/>
        <w:rPr>
          <w:rFonts w:ascii="Lato" w:hAnsi="Lato" w:eastAsiaTheme="minorEastAsia"/>
        </w:rPr>
      </w:pPr>
      <w:r>
        <w:rPr>
          <w:rFonts w:ascii="Lato" w:hAnsi="Lato" w:eastAsia="Calibri" w:cs="Calibri"/>
        </w:rPr>
        <w:t>Z Inspektorem ochrony danych można się skontaktować:</w:t>
      </w:r>
    </w:p>
    <w:p>
      <w:pPr>
        <w:pStyle w:val="9"/>
        <w:numPr>
          <w:ilvl w:val="0"/>
          <w:numId w:val="4"/>
        </w:numPr>
        <w:spacing w:after="96" w:afterLines="40"/>
        <w:ind w:left="1080"/>
        <w:rPr>
          <w:rFonts w:ascii="Lato" w:hAnsi="Lato" w:eastAsiaTheme="minorEastAsia"/>
        </w:rPr>
      </w:pPr>
      <w:r>
        <w:rPr>
          <w:rFonts w:ascii="Lato" w:hAnsi="Lato"/>
        </w:rPr>
        <w:t>tel.: (22) 581 94 30</w:t>
      </w:r>
    </w:p>
    <w:p>
      <w:pPr>
        <w:pStyle w:val="9"/>
        <w:numPr>
          <w:ilvl w:val="0"/>
          <w:numId w:val="4"/>
        </w:numPr>
        <w:spacing w:after="96" w:afterLines="40"/>
        <w:ind w:left="1080"/>
        <w:jc w:val="both"/>
        <w:rPr>
          <w:rFonts w:ascii="Lato" w:hAnsi="Lato" w:eastAsiaTheme="minorEastAsia"/>
        </w:rPr>
      </w:pPr>
      <w:r>
        <w:rPr>
          <w:rFonts w:ascii="Lato" w:hAnsi="Lato"/>
          <w:lang w:val="en-US"/>
        </w:rPr>
        <w:t xml:space="preserve">e-mail: </w:t>
      </w:r>
      <w:r>
        <w:rPr>
          <w:rFonts w:ascii="Lato" w:hAnsi="Lato"/>
          <w:color w:val="0000FF"/>
          <w:u w:val="single"/>
          <w:lang w:val="en-US"/>
        </w:rPr>
        <w:t>iod</w:t>
      </w:r>
      <w:r>
        <w:fldChar w:fldCharType="begin"/>
      </w:r>
      <w:r>
        <w:instrText xml:space="preserve"> HYPERLINK "mailto:gum@gum.gov.p" \h </w:instrText>
      </w:r>
      <w:r>
        <w:fldChar w:fldCharType="separate"/>
      </w:r>
      <w:r>
        <w:rPr>
          <w:rFonts w:ascii="Lato" w:hAnsi="Lato"/>
          <w:color w:val="0000FF"/>
          <w:u w:val="single"/>
          <w:lang w:val="en-US"/>
        </w:rPr>
        <w:t>@gum.gov.p</w:t>
      </w:r>
      <w:r>
        <w:rPr>
          <w:rFonts w:ascii="Lato" w:hAnsi="Lato"/>
          <w:color w:val="0000FF"/>
          <w:u w:val="single"/>
          <w:lang w:val="en-US"/>
        </w:rPr>
        <w:fldChar w:fldCharType="end"/>
      </w:r>
      <w:r>
        <w:rPr>
          <w:rFonts w:ascii="Lato" w:hAnsi="Lato"/>
          <w:color w:val="0000FF"/>
          <w:u w:val="single"/>
          <w:lang w:val="en-US"/>
        </w:rPr>
        <w:t>l</w:t>
      </w:r>
    </w:p>
    <w:p>
      <w:pPr>
        <w:pStyle w:val="9"/>
        <w:numPr>
          <w:ilvl w:val="0"/>
          <w:numId w:val="4"/>
        </w:numPr>
        <w:spacing w:after="96" w:afterLines="40"/>
        <w:ind w:left="1080"/>
        <w:jc w:val="both"/>
        <w:rPr>
          <w:rFonts w:ascii="Lato" w:hAnsi="Lato" w:eastAsiaTheme="minorEastAsia"/>
        </w:rPr>
      </w:pPr>
      <w:r>
        <w:rPr>
          <w:rFonts w:ascii="Lato" w:hAnsi="Lato"/>
        </w:rPr>
        <w:t>adres do korespondencji: Inspektor ochrony danych, Główny Urząd Miar, ul. Elektoralna 2, 0</w:t>
      </w:r>
      <w:r>
        <w:rPr>
          <w:rFonts w:ascii="Lato" w:hAnsi="Lato"/>
          <w:lang w:val="pl-PL"/>
        </w:rPr>
        <w:t>0</w:t>
      </w:r>
      <w:r>
        <w:rPr>
          <w:rFonts w:ascii="Lato" w:hAnsi="Lato"/>
        </w:rPr>
        <w:t>-139 Warszawa.</w:t>
      </w:r>
    </w:p>
    <w:p>
      <w:pPr>
        <w:pStyle w:val="9"/>
        <w:numPr>
          <w:ilvl w:val="0"/>
          <w:numId w:val="3"/>
        </w:numPr>
        <w:spacing w:after="96" w:afterLines="40" w:line="264" w:lineRule="auto"/>
        <w:jc w:val="both"/>
        <w:rPr>
          <w:rFonts w:ascii="Lato" w:hAnsi="Lato" w:eastAsiaTheme="minorEastAsia"/>
        </w:rPr>
      </w:pPr>
      <w:r>
        <w:rPr>
          <w:rFonts w:ascii="Lato" w:hAnsi="Lato"/>
        </w:rPr>
        <w:t xml:space="preserve">Pani/Pana dane osobowe w postaci wizerunku, cech szczególnych lub/i numerów identyfikacyjnych, zarejestrowane za pośrednictwem kamer systemu monitoringu wizyjnego, będą przetwarzane w celu ochrony mienia, zapewnienia bezpieczeństwa pracowników oraz zachowania w tajemnicy informacji, których ujawnienie mogłoby narazić administratora danych na szkodę. </w:t>
      </w:r>
    </w:p>
    <w:p>
      <w:pPr>
        <w:pStyle w:val="9"/>
        <w:numPr>
          <w:ilvl w:val="0"/>
          <w:numId w:val="3"/>
        </w:numPr>
        <w:spacing w:after="96" w:afterLines="40"/>
        <w:jc w:val="both"/>
        <w:rPr>
          <w:rFonts w:ascii="Lato" w:hAnsi="Lato"/>
        </w:rPr>
      </w:pPr>
      <w:r>
        <w:rPr>
          <w:rFonts w:ascii="Lato" w:hAnsi="Lato"/>
        </w:rPr>
        <w:t>Podstawą prawną przetwarzania jest art. 6 ust. 1 lit. e) ogólnego rozporządzenia o ochronie danych (RODO) – przetwarzanie jest niezbędna do wykonania zadania realizowanego</w:t>
      </w:r>
      <w:r>
        <w:rPr>
          <w:rFonts w:ascii="Lato" w:hAnsi="Lato"/>
          <w:lang w:val="pl-PL"/>
        </w:rPr>
        <w:t xml:space="preserve"> </w:t>
      </w:r>
      <w:r>
        <w:rPr>
          <w:rFonts w:ascii="Lato" w:hAnsi="Lato"/>
        </w:rPr>
        <w:t>w interesie publicznym lub w ramach sprawowania władzy publicznej powierzonej administratorowi.</w:t>
      </w:r>
    </w:p>
    <w:p>
      <w:pPr>
        <w:pStyle w:val="9"/>
        <w:numPr>
          <w:ilvl w:val="0"/>
          <w:numId w:val="3"/>
        </w:numPr>
        <w:spacing w:after="96" w:afterLines="40"/>
        <w:jc w:val="both"/>
        <w:rPr>
          <w:rFonts w:ascii="Lato" w:hAnsi="Lato"/>
        </w:rPr>
      </w:pPr>
      <w:r>
        <w:rPr>
          <w:rFonts w:ascii="Lato" w:hAnsi="Lato"/>
        </w:rPr>
        <w:t>Monitoringiem objęty jest gmach Głównego Urzędu Miar oraz teren wokół Urzędu, w tym odcinek ulicy Elektoralnej</w:t>
      </w:r>
      <w:r>
        <w:rPr>
          <w:rFonts w:ascii="Lato" w:hAnsi="Lato"/>
          <w:lang w:val="pl-PL"/>
        </w:rPr>
        <w:t>,</w:t>
      </w:r>
      <w:bookmarkStart w:id="0" w:name="_GoBack"/>
      <w:bookmarkEnd w:id="0"/>
      <w:r>
        <w:rPr>
          <w:rFonts w:ascii="Lato" w:hAnsi="Lato"/>
        </w:rPr>
        <w:t xml:space="preserve"> przylegającej do budynku Urzędu. </w:t>
      </w:r>
    </w:p>
    <w:p>
      <w:pPr>
        <w:pStyle w:val="9"/>
        <w:numPr>
          <w:ilvl w:val="0"/>
          <w:numId w:val="3"/>
        </w:numPr>
        <w:spacing w:after="96" w:afterLines="40"/>
        <w:jc w:val="both"/>
        <w:rPr>
          <w:rFonts w:ascii="Lato" w:hAnsi="Lato"/>
        </w:rPr>
      </w:pPr>
      <w:r>
        <w:rPr>
          <w:rFonts w:ascii="Lato" w:hAnsi="Lato"/>
        </w:rPr>
        <w:t xml:space="preserve">Zapisy z monitoringu są przechowywane przez okres 30 dni od dnia zarejestrowania, a następnie zostają automatycznie nadpisane. Jeżeli nagrania stanowią dowód w prowadzonym na podstawie prawa postępowaniu, zostaną zabezpieczone i będą przechowywane do czasu prawomocnego zakończenia postępowania, w którym stanowiły materiał dowodowy, a następnie zostaną zniszczone. </w:t>
      </w:r>
    </w:p>
    <w:p>
      <w:pPr>
        <w:pStyle w:val="9"/>
        <w:numPr>
          <w:ilvl w:val="0"/>
          <w:numId w:val="3"/>
        </w:numPr>
        <w:spacing w:after="96" w:afterLines="40"/>
        <w:jc w:val="both"/>
        <w:rPr>
          <w:rFonts w:ascii="Lato" w:hAnsi="Lato"/>
        </w:rPr>
      </w:pPr>
      <w:r>
        <w:rPr>
          <w:rFonts w:ascii="Lato" w:hAnsi="Lato"/>
        </w:rPr>
        <w:t xml:space="preserve">Dostęp do Pani/Pana danych osobowych mają pracownicy zewnętrznego usługodawcy, świadczącego dla Administratora danych usługę ochrony GUM oraz osoby świadczące usługi serwisowe. Dane mogą zostać udostępnione uprawnionym na podstawie prawa podmiotom, na pisemny, umotywowany wniosek. </w:t>
      </w:r>
    </w:p>
    <w:p>
      <w:pPr>
        <w:pStyle w:val="9"/>
        <w:numPr>
          <w:ilvl w:val="0"/>
          <w:numId w:val="3"/>
        </w:numPr>
        <w:spacing w:after="96" w:afterLines="40"/>
        <w:jc w:val="both"/>
        <w:rPr>
          <w:rFonts w:ascii="Lato" w:hAnsi="Lato"/>
        </w:rPr>
      </w:pPr>
      <w:r>
        <w:rPr>
          <w:rFonts w:ascii="Lato" w:hAnsi="Lato"/>
        </w:rPr>
        <w:t>Pani/Pana dane osobowe nie będą przekazywane do państw spoza Europejskiego Obszaru Gospodarczego ani do organizacji międzynarodowych.</w:t>
      </w:r>
    </w:p>
    <w:p>
      <w:pPr>
        <w:pStyle w:val="9"/>
        <w:numPr>
          <w:ilvl w:val="0"/>
          <w:numId w:val="3"/>
        </w:numPr>
        <w:spacing w:after="96" w:afterLines="40"/>
        <w:jc w:val="both"/>
        <w:rPr>
          <w:rFonts w:ascii="Lato" w:hAnsi="Lato"/>
          <w:color w:val="000000" w:themeColor="text1"/>
          <w14:textFill>
            <w14:solidFill>
              <w14:schemeClr w14:val="tx1"/>
            </w14:solidFill>
          </w14:textFill>
        </w:rPr>
      </w:pPr>
      <w:r>
        <w:rPr>
          <w:rFonts w:ascii="Lato" w:hAnsi="Lato"/>
        </w:rPr>
        <w:t xml:space="preserve">Posiada Pani/Pan następujące prawa: </w:t>
      </w:r>
    </w:p>
    <w:p>
      <w:pPr>
        <w:pStyle w:val="9"/>
        <w:numPr>
          <w:ilvl w:val="0"/>
          <w:numId w:val="4"/>
        </w:numPr>
        <w:spacing w:after="96" w:afterLines="40"/>
        <w:ind w:left="1080"/>
        <w:rPr>
          <w:rStyle w:val="15"/>
          <w:rFonts w:ascii="Lato" w:hAnsi="Lato"/>
        </w:rPr>
      </w:pPr>
      <w:r>
        <w:rPr>
          <w:rFonts w:ascii="Lato" w:hAnsi="Lato"/>
        </w:rPr>
        <w:t>prawo</w:t>
      </w:r>
      <w:r>
        <w:rPr>
          <w:rStyle w:val="15"/>
          <w:rFonts w:ascii="Lato" w:hAnsi="Lato"/>
        </w:rPr>
        <w:t xml:space="preserve"> dostępu do swoich danych oraz otrzymania ich kopii – zgodnie z art. 15 RODO</w:t>
      </w:r>
    </w:p>
    <w:p>
      <w:pPr>
        <w:pStyle w:val="9"/>
        <w:numPr>
          <w:ilvl w:val="0"/>
          <w:numId w:val="4"/>
        </w:numPr>
        <w:spacing w:after="96" w:afterLines="40"/>
        <w:ind w:left="1080"/>
        <w:rPr>
          <w:rStyle w:val="15"/>
          <w:rFonts w:ascii="Lato" w:hAnsi="Lato"/>
        </w:rPr>
      </w:pPr>
      <w:r>
        <w:rPr>
          <w:rStyle w:val="15"/>
          <w:rFonts w:ascii="Lato" w:hAnsi="Lato"/>
        </w:rPr>
        <w:t>prawo do sprostowania (poprawiania) swoich danych, jeżeli są błędne lub nieaktualne – zgodnie z art. 16 RODO</w:t>
      </w:r>
    </w:p>
    <w:p>
      <w:pPr>
        <w:pStyle w:val="9"/>
        <w:numPr>
          <w:ilvl w:val="0"/>
          <w:numId w:val="4"/>
        </w:numPr>
        <w:spacing w:after="96" w:afterLines="40"/>
        <w:ind w:left="1080"/>
        <w:rPr>
          <w:rFonts w:ascii="Lato" w:hAnsi="Lato"/>
        </w:rPr>
      </w:pPr>
      <w:r>
        <w:rPr>
          <w:rStyle w:val="15"/>
          <w:rFonts w:ascii="Lato" w:hAnsi="Lato"/>
        </w:rPr>
        <w:t>prawo do sprzeciwu – zgodnie z art. 21 RODO </w:t>
      </w:r>
      <w:r>
        <w:rPr>
          <w:rStyle w:val="16"/>
          <w:rFonts w:ascii="Lato" w:hAnsi="Lato"/>
        </w:rPr>
        <w:t> </w:t>
      </w:r>
    </w:p>
    <w:p>
      <w:pPr>
        <w:pStyle w:val="9"/>
        <w:spacing w:after="96" w:afterLines="40"/>
        <w:jc w:val="both"/>
        <w:rPr>
          <w:rFonts w:ascii="Lato" w:hAnsi="Lato"/>
          <w:color w:val="000000" w:themeColor="text1"/>
          <w14:textFill>
            <w14:solidFill>
              <w14:schemeClr w14:val="tx1"/>
            </w14:solidFill>
          </w14:textFill>
        </w:rPr>
      </w:pPr>
    </w:p>
    <w:p>
      <w:pPr>
        <w:pStyle w:val="9"/>
        <w:numPr>
          <w:ilvl w:val="0"/>
          <w:numId w:val="3"/>
        </w:numPr>
        <w:jc w:val="both"/>
        <w:rPr>
          <w:rFonts w:ascii="Lato" w:hAnsi="Lato" w:eastAsiaTheme="minorEastAsia"/>
        </w:rPr>
      </w:pPr>
      <w:r>
        <w:rPr>
          <w:rFonts w:ascii="Lato" w:hAnsi="Lato"/>
        </w:rPr>
        <w:t xml:space="preserve">W przypadku uzyskania informacji, że przetwarzanie w Głównym Urzędzie Miar Pani/Pana danych osobowych narusza przepisy ogólnego rozporządzenia o ochronie danych (RODO), ma Pani/Pan prawo do złożenia skargi do Prezesa Urzędu Ochrony Danych Osobowych, na adres: ul. Stawki 2, 00-193 Warszawa. </w:t>
      </w:r>
    </w:p>
    <w:p>
      <w:pPr>
        <w:pStyle w:val="9"/>
        <w:numPr>
          <w:ilvl w:val="0"/>
          <w:numId w:val="3"/>
        </w:numPr>
        <w:spacing w:after="96" w:afterLines="40"/>
        <w:jc w:val="both"/>
        <w:rPr>
          <w:rFonts w:ascii="Lato" w:hAnsi="Lato"/>
          <w:color w:val="000000" w:themeColor="text1"/>
          <w14:textFill>
            <w14:solidFill>
              <w14:schemeClr w14:val="tx1"/>
            </w14:solidFill>
          </w14:textFill>
        </w:rPr>
      </w:pPr>
      <w:r>
        <w:rPr>
          <w:rFonts w:ascii="Lato" w:hAnsi="Lato"/>
        </w:rPr>
        <w:t>Podanie przez Panią/Pana danych osobowych jest dobrowolne, jednak konsekwencją ich niepodania jest brak uprawnień do wstępu i przebywania na terenie Głównego Urzędu Miar.</w:t>
      </w:r>
    </w:p>
    <w:p>
      <w:pPr>
        <w:pStyle w:val="9"/>
        <w:numPr>
          <w:ilvl w:val="0"/>
          <w:numId w:val="3"/>
        </w:numPr>
        <w:spacing w:after="96" w:afterLines="40"/>
        <w:jc w:val="both"/>
        <w:rPr>
          <w:rFonts w:ascii="Lato" w:hAnsi="Lato"/>
        </w:rPr>
      </w:pPr>
      <w:r>
        <w:rPr>
          <w:rFonts w:ascii="Lato" w:hAnsi="Lato"/>
        </w:rPr>
        <w:t>Pani/Pana dane nie będą wykorzystywane do podejmowania decyzji w sposób zautomatyzowany i nie będą podlegały profilowaniu.</w:t>
      </w:r>
    </w:p>
    <w:p>
      <w:pPr>
        <w:ind w:left="360"/>
        <w:rPr>
          <w:rFonts w:ascii="Lato" w:hAnsi="Lato" w:eastAsia="Calibri" w:cs="Calibri"/>
        </w:rPr>
      </w:pPr>
    </w:p>
    <w:sectPr>
      <w:pgSz w:w="11906" w:h="16838"/>
      <w:pgMar w:top="1134"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Lato">
    <w:altName w:val="Calibri"/>
    <w:panose1 w:val="020F0502020204030203"/>
    <w:charset w:val="EE"/>
    <w:family w:val="swiss"/>
    <w:pitch w:val="default"/>
    <w:sig w:usb0="00000000" w:usb1="00000000" w:usb2="00000021" w:usb3="00000000" w:csb0="0000019F" w:csb1="0000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3FC7"/>
    <w:multiLevelType w:val="multilevel"/>
    <w:tmpl w:val="3D273FC7"/>
    <w:lvl w:ilvl="0" w:tentative="0">
      <w:start w:val="2"/>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5D00C00"/>
    <w:multiLevelType w:val="multilevel"/>
    <w:tmpl w:val="45D00C00"/>
    <w:lvl w:ilvl="0" w:tentative="0">
      <w:start w:val="1"/>
      <w:numFmt w:val="bullet"/>
      <w:lvlText w:val="o"/>
      <w:lvlJc w:val="left"/>
      <w:pPr>
        <w:ind w:left="1080" w:hanging="360"/>
      </w:pPr>
      <w:rPr>
        <w:rFonts w:hint="default" w:ascii="Courier New" w:hAnsi="Courier New" w:cs="Courier New"/>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6B086E93"/>
    <w:multiLevelType w:val="multilevel"/>
    <w:tmpl w:val="6B086E93"/>
    <w:lvl w:ilvl="0" w:tentative="0">
      <w:start w:val="1"/>
      <w:numFmt w:val="bullet"/>
      <w:lvlText w:val="o"/>
      <w:lvlJc w:val="left"/>
      <w:pPr>
        <w:ind w:left="720" w:hanging="360"/>
      </w:pPr>
      <w:rPr>
        <w:rFonts w:hint="default" w:ascii="Courier New" w:hAnsi="Courier New"/>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704A1F3A"/>
    <w:multiLevelType w:val="multilevel"/>
    <w:tmpl w:val="704A1F3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F9"/>
    <w:rsid w:val="000023EA"/>
    <w:rsid w:val="00037348"/>
    <w:rsid w:val="00052DCC"/>
    <w:rsid w:val="000E1249"/>
    <w:rsid w:val="000E3EC2"/>
    <w:rsid w:val="0016040A"/>
    <w:rsid w:val="001A65D0"/>
    <w:rsid w:val="002332BE"/>
    <w:rsid w:val="00240150"/>
    <w:rsid w:val="00247362"/>
    <w:rsid w:val="002819B3"/>
    <w:rsid w:val="002944FB"/>
    <w:rsid w:val="002D6C73"/>
    <w:rsid w:val="002E47A2"/>
    <w:rsid w:val="00303608"/>
    <w:rsid w:val="0037390F"/>
    <w:rsid w:val="00384ED7"/>
    <w:rsid w:val="00396F37"/>
    <w:rsid w:val="003E13A4"/>
    <w:rsid w:val="003E7C2E"/>
    <w:rsid w:val="003F73D9"/>
    <w:rsid w:val="004843EA"/>
    <w:rsid w:val="004D147C"/>
    <w:rsid w:val="004E57E3"/>
    <w:rsid w:val="00517361"/>
    <w:rsid w:val="0055300A"/>
    <w:rsid w:val="0057623C"/>
    <w:rsid w:val="00587182"/>
    <w:rsid w:val="00662908"/>
    <w:rsid w:val="00740B43"/>
    <w:rsid w:val="007B2556"/>
    <w:rsid w:val="0081087F"/>
    <w:rsid w:val="008338F9"/>
    <w:rsid w:val="00845E5A"/>
    <w:rsid w:val="00851F2F"/>
    <w:rsid w:val="00867160"/>
    <w:rsid w:val="008747A9"/>
    <w:rsid w:val="00875B66"/>
    <w:rsid w:val="0095107E"/>
    <w:rsid w:val="00967F6E"/>
    <w:rsid w:val="0097449D"/>
    <w:rsid w:val="00986446"/>
    <w:rsid w:val="009A281B"/>
    <w:rsid w:val="009C7C24"/>
    <w:rsid w:val="00A37C69"/>
    <w:rsid w:val="00A5377D"/>
    <w:rsid w:val="00A55208"/>
    <w:rsid w:val="00A75118"/>
    <w:rsid w:val="00A92A72"/>
    <w:rsid w:val="00AA3040"/>
    <w:rsid w:val="00AA5D28"/>
    <w:rsid w:val="00AC4661"/>
    <w:rsid w:val="00B53584"/>
    <w:rsid w:val="00B6541E"/>
    <w:rsid w:val="00BB27AF"/>
    <w:rsid w:val="00BC1162"/>
    <w:rsid w:val="00C606A7"/>
    <w:rsid w:val="00C836DF"/>
    <w:rsid w:val="00C9107C"/>
    <w:rsid w:val="00CA3BD8"/>
    <w:rsid w:val="00CF2219"/>
    <w:rsid w:val="00D06553"/>
    <w:rsid w:val="00D939A6"/>
    <w:rsid w:val="00DE03FE"/>
    <w:rsid w:val="00E01C85"/>
    <w:rsid w:val="00E15F7A"/>
    <w:rsid w:val="00E539A9"/>
    <w:rsid w:val="00E552C9"/>
    <w:rsid w:val="00E6140D"/>
    <w:rsid w:val="00E809E9"/>
    <w:rsid w:val="00F60D81"/>
    <w:rsid w:val="00F6114B"/>
    <w:rsid w:val="00F852CB"/>
    <w:rsid w:val="00FC48A6"/>
    <w:rsid w:val="00FD3F82"/>
    <w:rsid w:val="013CDF99"/>
    <w:rsid w:val="0233D9BE"/>
    <w:rsid w:val="03818BCE"/>
    <w:rsid w:val="049B79E3"/>
    <w:rsid w:val="06B30112"/>
    <w:rsid w:val="076E9624"/>
    <w:rsid w:val="0822C31A"/>
    <w:rsid w:val="08D291FB"/>
    <w:rsid w:val="0C26580D"/>
    <w:rsid w:val="0D454CB6"/>
    <w:rsid w:val="0E647245"/>
    <w:rsid w:val="10488FD1"/>
    <w:rsid w:val="1083BAB0"/>
    <w:rsid w:val="10C9F5B6"/>
    <w:rsid w:val="1116C980"/>
    <w:rsid w:val="112F8BA7"/>
    <w:rsid w:val="12332C96"/>
    <w:rsid w:val="12E89354"/>
    <w:rsid w:val="143C433F"/>
    <w:rsid w:val="15F7990E"/>
    <w:rsid w:val="1AD125DC"/>
    <w:rsid w:val="1B686EC8"/>
    <w:rsid w:val="1C814603"/>
    <w:rsid w:val="1CB15CB1"/>
    <w:rsid w:val="1E1E907F"/>
    <w:rsid w:val="1E5FF205"/>
    <w:rsid w:val="1EB82CD3"/>
    <w:rsid w:val="1F9C42C9"/>
    <w:rsid w:val="207167AF"/>
    <w:rsid w:val="2277D54C"/>
    <w:rsid w:val="2318CC9A"/>
    <w:rsid w:val="23B801F1"/>
    <w:rsid w:val="245A0FB0"/>
    <w:rsid w:val="2541EDE3"/>
    <w:rsid w:val="255144A0"/>
    <w:rsid w:val="26AD00BF"/>
    <w:rsid w:val="27BCF014"/>
    <w:rsid w:val="282B4173"/>
    <w:rsid w:val="29088791"/>
    <w:rsid w:val="299C6938"/>
    <w:rsid w:val="29F422E3"/>
    <w:rsid w:val="2A2950D1"/>
    <w:rsid w:val="2BFB9BF7"/>
    <w:rsid w:val="2C2AF65E"/>
    <w:rsid w:val="2CB2F239"/>
    <w:rsid w:val="30F6EA35"/>
    <w:rsid w:val="3163BF99"/>
    <w:rsid w:val="328A22C6"/>
    <w:rsid w:val="33D0B64C"/>
    <w:rsid w:val="38203898"/>
    <w:rsid w:val="387767D3"/>
    <w:rsid w:val="38BE5684"/>
    <w:rsid w:val="39DC05E2"/>
    <w:rsid w:val="3A231235"/>
    <w:rsid w:val="3CBD28D7"/>
    <w:rsid w:val="3D20CF2B"/>
    <w:rsid w:val="3D9F9583"/>
    <w:rsid w:val="3E502878"/>
    <w:rsid w:val="3EE16606"/>
    <w:rsid w:val="400C9B72"/>
    <w:rsid w:val="41DA850E"/>
    <w:rsid w:val="41F300EA"/>
    <w:rsid w:val="42CC456B"/>
    <w:rsid w:val="4430D99C"/>
    <w:rsid w:val="48C78B16"/>
    <w:rsid w:val="4B681048"/>
    <w:rsid w:val="4B8275A6"/>
    <w:rsid w:val="4FFB0035"/>
    <w:rsid w:val="507D09C7"/>
    <w:rsid w:val="5153BFF8"/>
    <w:rsid w:val="519EDCCA"/>
    <w:rsid w:val="52CD8EE8"/>
    <w:rsid w:val="5343BC09"/>
    <w:rsid w:val="5398FF85"/>
    <w:rsid w:val="539C4B10"/>
    <w:rsid w:val="57487C8C"/>
    <w:rsid w:val="59A3477C"/>
    <w:rsid w:val="5B10015B"/>
    <w:rsid w:val="5BE34761"/>
    <w:rsid w:val="5E752F54"/>
    <w:rsid w:val="61197664"/>
    <w:rsid w:val="617693C3"/>
    <w:rsid w:val="617C3DD9"/>
    <w:rsid w:val="6255D03C"/>
    <w:rsid w:val="6259D482"/>
    <w:rsid w:val="62C044CC"/>
    <w:rsid w:val="63207014"/>
    <w:rsid w:val="66E7CA47"/>
    <w:rsid w:val="677CD31D"/>
    <w:rsid w:val="67C501B6"/>
    <w:rsid w:val="68029B69"/>
    <w:rsid w:val="681EDCE3"/>
    <w:rsid w:val="68F88912"/>
    <w:rsid w:val="6948AE45"/>
    <w:rsid w:val="69CE4B31"/>
    <w:rsid w:val="6AADDF44"/>
    <w:rsid w:val="6DAE6D05"/>
    <w:rsid w:val="70B6EB28"/>
    <w:rsid w:val="7102FF46"/>
    <w:rsid w:val="71FEF6DE"/>
    <w:rsid w:val="734E4075"/>
    <w:rsid w:val="73999852"/>
    <w:rsid w:val="74680430"/>
    <w:rsid w:val="74F5DA45"/>
    <w:rsid w:val="75E4525C"/>
    <w:rsid w:val="78708702"/>
    <w:rsid w:val="7A85847F"/>
    <w:rsid w:val="7C20FD7C"/>
    <w:rsid w:val="7C5405B9"/>
    <w:rsid w:val="7D42E528"/>
    <w:rsid w:val="7E2BFC1E"/>
    <w:rsid w:val="7E513B53"/>
    <w:rsid w:val="7E8EC5AF"/>
    <w:rsid w:val="7FF33A5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Segoe UI" w:hAnsi="Segoe UI" w:cs="Segoe UI"/>
      <w:sz w:val="18"/>
      <w:szCs w:val="18"/>
    </w:rPr>
  </w:style>
  <w:style w:type="paragraph" w:styleId="3">
    <w:name w:val="annotation text"/>
    <w:basedOn w:val="1"/>
    <w:link w:val="10"/>
    <w:semiHidden/>
    <w:unhideWhenUsed/>
    <w:uiPriority w:val="99"/>
    <w:pPr>
      <w:spacing w:line="240" w:lineRule="auto"/>
    </w:pPr>
    <w:rPr>
      <w:sz w:val="20"/>
      <w:szCs w:val="20"/>
    </w:rPr>
  </w:style>
  <w:style w:type="paragraph" w:styleId="4">
    <w:name w:val="annotation subject"/>
    <w:basedOn w:val="3"/>
    <w:next w:val="3"/>
    <w:link w:val="11"/>
    <w:semiHidden/>
    <w:unhideWhenUsed/>
    <w:uiPriority w:val="99"/>
    <w:rPr>
      <w:b/>
      <w:bCs/>
    </w:rPr>
  </w:style>
  <w:style w:type="character" w:styleId="6">
    <w:name w:val="annotation reference"/>
    <w:basedOn w:val="5"/>
    <w:semiHidden/>
    <w:unhideWhenUsed/>
    <w:uiPriority w:val="99"/>
    <w:rPr>
      <w:sz w:val="16"/>
      <w:szCs w:val="16"/>
    </w:rPr>
  </w:style>
  <w:style w:type="character" w:styleId="7">
    <w:name w:val="Hyperlink"/>
    <w:basedOn w:val="5"/>
    <w:unhideWhenUsed/>
    <w:uiPriority w:val="99"/>
    <w:rPr>
      <w:color w:val="0000FF" w:themeColor="hyperlink"/>
      <w:u w:val="single"/>
      <w14:textFill>
        <w14:solidFill>
          <w14:schemeClr w14:val="hlink"/>
        </w14:solidFill>
      </w14:textFill>
    </w:rPr>
  </w:style>
  <w:style w:type="paragraph" w:styleId="9">
    <w:name w:val="List Paragraph"/>
    <w:basedOn w:val="1"/>
    <w:qFormat/>
    <w:uiPriority w:val="34"/>
    <w:pPr>
      <w:ind w:left="720"/>
      <w:contextualSpacing/>
    </w:pPr>
  </w:style>
  <w:style w:type="character" w:customStyle="1" w:styleId="10">
    <w:name w:val="Tekst komentarza Znak"/>
    <w:basedOn w:val="5"/>
    <w:link w:val="3"/>
    <w:semiHidden/>
    <w:uiPriority w:val="99"/>
    <w:rPr>
      <w:sz w:val="20"/>
      <w:szCs w:val="20"/>
    </w:rPr>
  </w:style>
  <w:style w:type="character" w:customStyle="1" w:styleId="11">
    <w:name w:val="Temat komentarza Znak"/>
    <w:basedOn w:val="10"/>
    <w:link w:val="4"/>
    <w:semiHidden/>
    <w:uiPriority w:val="99"/>
    <w:rPr>
      <w:b/>
      <w:bCs/>
      <w:sz w:val="20"/>
      <w:szCs w:val="20"/>
    </w:rPr>
  </w:style>
  <w:style w:type="character" w:customStyle="1" w:styleId="12">
    <w:name w:val="Tekst dymka Znak"/>
    <w:basedOn w:val="5"/>
    <w:link w:val="2"/>
    <w:semiHidden/>
    <w:uiPriority w:val="99"/>
    <w:rPr>
      <w:rFonts w:ascii="Segoe UI" w:hAnsi="Segoe UI" w:cs="Segoe UI"/>
      <w:sz w:val="18"/>
      <w:szCs w:val="18"/>
    </w:rPr>
  </w:style>
  <w:style w:type="character" w:customStyle="1" w:styleId="13">
    <w:name w:val="Unresolved Mention"/>
    <w:basedOn w:val="5"/>
    <w:semiHidden/>
    <w:unhideWhenUsed/>
    <w:uiPriority w:val="99"/>
    <w:rPr>
      <w:color w:val="605E5C"/>
      <w:shd w:val="clear" w:color="auto" w:fill="E1DFDD"/>
    </w:rPr>
  </w:style>
  <w:style w:type="paragraph" w:customStyle="1" w:styleId="14">
    <w:name w:val="paragraph"/>
    <w:basedOn w:val="1"/>
    <w:uiPriority w:val="0"/>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customStyle="1" w:styleId="15">
    <w:name w:val="normaltextrun"/>
    <w:basedOn w:val="5"/>
    <w:uiPriority w:val="0"/>
  </w:style>
  <w:style w:type="character" w:customStyle="1" w:styleId="16">
    <w:name w:val="eop"/>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AD1AEE-443A-4FEB-9C65-37264125A258}">
  <ds:schemaRefs/>
</ds:datastoreItem>
</file>

<file path=docProps/app.xml><?xml version="1.0" encoding="utf-8"?>
<Properties xmlns="http://schemas.openxmlformats.org/officeDocument/2006/extended-properties" xmlns:vt="http://schemas.openxmlformats.org/officeDocument/2006/docPropsVTypes">
  <Template>Normal</Template>
  <Pages>2</Pages>
  <Words>520</Words>
  <Characters>3122</Characters>
  <Lines>26</Lines>
  <Paragraphs>7</Paragraphs>
  <TotalTime>2</TotalTime>
  <ScaleCrop>false</ScaleCrop>
  <LinksUpToDate>false</LinksUpToDate>
  <CharactersWithSpaces>3635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2020-09-02T09:11:00Z</dcterms:created>
  <dc:creator>Anna Krysiak</dc:creator>
  <cp:lastModifiedBy>azebe</cp:lastModifiedBy>
  <dcterms:modified xsi:type="dcterms:W3CDTF">2021-03-03T14:33:35Z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